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F884ED" w14:textId="77777777" w:rsidR="00031310" w:rsidRDefault="00EA4C4E" w:rsidP="00471F51">
      <w:pPr>
        <w:pStyle w:val="Title"/>
        <w:jc w:val="center"/>
      </w:pPr>
      <w:r>
        <w:t>VIIRS Terrestrial Evapotranspiration (ET) Data Products (VNP16/VJ116) User Guide</w:t>
      </w:r>
    </w:p>
    <w:p w14:paraId="21105ED4" w14:textId="77777777" w:rsidR="00031310" w:rsidRDefault="00EA4C4E" w:rsidP="00201DA4">
      <w:pPr>
        <w:pStyle w:val="Author"/>
        <w:jc w:val="center"/>
      </w:pPr>
      <w:bookmarkStart w:id="0" w:name="__RefHeading___Toc8129_1878491447"/>
      <w:bookmarkStart w:id="1" w:name="_Toc181039244"/>
      <w:bookmarkStart w:id="2" w:name="_Toc181041349"/>
      <w:bookmarkStart w:id="3" w:name="_Toc181041673"/>
      <w:bookmarkEnd w:id="0"/>
      <w:proofErr w:type="spellStart"/>
      <w:r>
        <w:t>Maosheng</w:t>
      </w:r>
      <w:proofErr w:type="spellEnd"/>
      <w:r>
        <w:t xml:space="preserve"> Zhao</w:t>
      </w:r>
      <w:r>
        <w:rPr>
          <w:vertAlign w:val="superscript"/>
        </w:rPr>
        <w:t>1,2</w:t>
      </w:r>
      <w:r>
        <w:t xml:space="preserve">, </w:t>
      </w:r>
      <w:proofErr w:type="spellStart"/>
      <w:r>
        <w:t>Qiaozhen</w:t>
      </w:r>
      <w:proofErr w:type="spellEnd"/>
      <w:r>
        <w:t xml:space="preserve"> Mu</w:t>
      </w:r>
      <w:r>
        <w:rPr>
          <w:vertAlign w:val="superscript"/>
        </w:rPr>
        <w:t>1,2</w:t>
      </w:r>
      <w:r>
        <w:t>, Arthur Endsley</w:t>
      </w:r>
      <w:r>
        <w:rPr>
          <w:vertAlign w:val="superscript"/>
        </w:rPr>
        <w:t>3</w:t>
      </w:r>
      <w:r>
        <w:t>, John Kimball</w:t>
      </w:r>
      <w:r>
        <w:rPr>
          <w:vertAlign w:val="superscript"/>
        </w:rPr>
        <w:t>3</w:t>
      </w:r>
      <w:r>
        <w:t xml:space="preserve">, </w:t>
      </w:r>
      <w:proofErr w:type="spellStart"/>
      <w:r>
        <w:t>Sadashiva</w:t>
      </w:r>
      <w:proofErr w:type="spellEnd"/>
      <w:r>
        <w:t xml:space="preserve"> Devadiga</w:t>
      </w:r>
      <w:r>
        <w:rPr>
          <w:vertAlign w:val="superscript"/>
        </w:rPr>
        <w:t>2</w:t>
      </w:r>
      <w:r>
        <w:t>, Steven Running</w:t>
      </w:r>
      <w:r>
        <w:rPr>
          <w:vertAlign w:val="superscript"/>
        </w:rPr>
        <w:t>3</w:t>
      </w:r>
      <w:bookmarkEnd w:id="1"/>
      <w:bookmarkEnd w:id="2"/>
      <w:bookmarkEnd w:id="3"/>
    </w:p>
    <w:p w14:paraId="0C129F9E" w14:textId="459D566A" w:rsidR="00031310" w:rsidRDefault="00EA4C4E">
      <w:pPr>
        <w:pStyle w:val="Author"/>
        <w:rPr>
          <w:b w:val="0"/>
          <w:bCs w:val="0"/>
        </w:rPr>
      </w:pPr>
      <w:bookmarkStart w:id="4" w:name="_Toc181039245"/>
      <w:bookmarkStart w:id="5" w:name="_Toc181041350"/>
      <w:bookmarkStart w:id="6" w:name="_Toc181041674"/>
      <w:r>
        <w:rPr>
          <w:b w:val="0"/>
          <w:bCs w:val="0"/>
          <w:vertAlign w:val="superscript"/>
        </w:rPr>
        <w:t>1</w:t>
      </w:r>
      <w:r>
        <w:rPr>
          <w:b w:val="0"/>
          <w:bCs w:val="0"/>
        </w:rPr>
        <w:t xml:space="preserve">SSAI, </w:t>
      </w:r>
      <w:r>
        <w:rPr>
          <w:b w:val="0"/>
          <w:bCs w:val="0"/>
          <w:vertAlign w:val="superscript"/>
        </w:rPr>
        <w:t>2</w:t>
      </w:r>
      <w:r>
        <w:rPr>
          <w:b w:val="0"/>
          <w:bCs w:val="0"/>
        </w:rPr>
        <w:t xml:space="preserve">NASA GSFC, </w:t>
      </w:r>
      <w:r>
        <w:rPr>
          <w:b w:val="0"/>
          <w:bCs w:val="0"/>
          <w:vertAlign w:val="superscript"/>
        </w:rPr>
        <w:t>3</w:t>
      </w:r>
      <w:r w:rsidR="00F3608B" w:rsidRPr="00CF0D36">
        <w:rPr>
          <w:b w:val="0"/>
          <w:bCs w:val="0"/>
        </w:rPr>
        <w:t xml:space="preserve">NTSG, </w:t>
      </w:r>
      <w:r>
        <w:rPr>
          <w:b w:val="0"/>
          <w:bCs w:val="0"/>
        </w:rPr>
        <w:t>University of Montana</w:t>
      </w:r>
      <w:bookmarkEnd w:id="4"/>
      <w:bookmarkEnd w:id="5"/>
      <w:bookmarkEnd w:id="6"/>
    </w:p>
    <w:p w14:paraId="41823781" w14:textId="6797DF48" w:rsidR="00031310" w:rsidRDefault="00EA4C4E">
      <w:pPr>
        <w:pStyle w:val="Date"/>
      </w:pPr>
      <w:r>
        <w:t xml:space="preserve">Version </w:t>
      </w:r>
      <w:r w:rsidR="004E4DCB">
        <w:t>1</w:t>
      </w:r>
      <w:r>
        <w:t xml:space="preserve">.0, </w:t>
      </w:r>
      <w:r w:rsidR="00914CDA">
        <w:t>October</w:t>
      </w:r>
      <w:r>
        <w:t xml:space="preserve"> 202</w:t>
      </w:r>
      <w:r w:rsidR="00914CDA">
        <w:t>4</w:t>
      </w:r>
    </w:p>
    <w:p w14:paraId="3B98382A" w14:textId="77777777" w:rsidR="00031310" w:rsidRDefault="00031310">
      <w:pPr>
        <w:pStyle w:val="Heading1"/>
      </w:pPr>
    </w:p>
    <w:p w14:paraId="7228924A" w14:textId="3832650F" w:rsidR="006F0560" w:rsidRDefault="006F0560">
      <w:pPr>
        <w:ind w:left="0"/>
      </w:pPr>
      <w:r>
        <w:rPr>
          <w:noProof/>
        </w:rPr>
        <w:drawing>
          <wp:anchor distT="0" distB="0" distL="0" distR="0" simplePos="0" relativeHeight="196" behindDoc="0" locked="0" layoutInCell="0" allowOverlap="1" wp14:anchorId="519B3A66" wp14:editId="7EB00D81">
            <wp:simplePos x="0" y="0"/>
            <wp:positionH relativeFrom="column">
              <wp:posOffset>0</wp:posOffset>
            </wp:positionH>
            <wp:positionV relativeFrom="paragraph">
              <wp:posOffset>321945</wp:posOffset>
            </wp:positionV>
            <wp:extent cx="5943600" cy="2903855"/>
            <wp:effectExtent l="0" t="0" r="0" b="0"/>
            <wp:wrapSquare wrapText="largest"/>
            <wp:docPr id="1"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8"/>
                    <pic:cNvPicPr>
                      <a:picLocks noChangeAspect="1" noChangeArrowheads="1"/>
                    </pic:cNvPicPr>
                  </pic:nvPicPr>
                  <pic:blipFill>
                    <a:blip r:embed="rId8"/>
                    <a:stretch>
                      <a:fillRect/>
                    </a:stretch>
                  </pic:blipFill>
                  <pic:spPr bwMode="auto">
                    <a:xfrm>
                      <a:off x="0" y="0"/>
                      <a:ext cx="5943600" cy="2903855"/>
                    </a:xfrm>
                    <a:prstGeom prst="rect">
                      <a:avLst/>
                    </a:prstGeom>
                  </pic:spPr>
                </pic:pic>
              </a:graphicData>
            </a:graphic>
          </wp:anchor>
        </w:drawing>
      </w:r>
    </w:p>
    <w:p w14:paraId="09DF1ABE" w14:textId="6DEF4773" w:rsidR="006F0560" w:rsidRDefault="006F0560">
      <w:pPr>
        <w:ind w:left="0"/>
      </w:pPr>
    </w:p>
    <w:p w14:paraId="72F47AEB" w14:textId="75952508" w:rsidR="006F0560" w:rsidRDefault="006F0560">
      <w:pPr>
        <w:ind w:left="0"/>
      </w:pPr>
    </w:p>
    <w:p w14:paraId="518DDAFD" w14:textId="15E8CCEF" w:rsidR="006F0560" w:rsidRDefault="006F0560">
      <w:pPr>
        <w:ind w:left="0"/>
      </w:pPr>
    </w:p>
    <w:p w14:paraId="1059DC63" w14:textId="77777777" w:rsidR="006F0560" w:rsidRDefault="006F0560">
      <w:pPr>
        <w:ind w:left="0"/>
        <w:sectPr w:rsidR="006F0560">
          <w:headerReference w:type="even" r:id="rId9"/>
          <w:headerReference w:type="default" r:id="rId10"/>
          <w:footerReference w:type="even" r:id="rId11"/>
          <w:footerReference w:type="default" r:id="rId12"/>
          <w:headerReference w:type="first" r:id="rId13"/>
          <w:pgSz w:w="12240" w:h="15840"/>
          <w:pgMar w:top="1440" w:right="1440" w:bottom="1440" w:left="1440" w:header="0" w:footer="0" w:gutter="0"/>
          <w:cols w:space="720"/>
          <w:formProt w:val="0"/>
          <w:docGrid w:linePitch="240"/>
        </w:sectPr>
      </w:pPr>
    </w:p>
    <w:p w14:paraId="097092DB" w14:textId="77777777" w:rsidR="006F0560" w:rsidRDefault="006F0560">
      <w:pPr>
        <w:ind w:left="0"/>
      </w:pPr>
    </w:p>
    <w:sdt>
      <w:sdtPr>
        <w:rPr>
          <w:rFonts w:ascii="Times New Roman" w:hAnsi="Times New Roman" w:cs="Cambria"/>
          <w:b w:val="0"/>
          <w:bCs w:val="0"/>
          <w:sz w:val="24"/>
          <w:szCs w:val="24"/>
        </w:rPr>
        <w:id w:val="708615468"/>
        <w:docPartObj>
          <w:docPartGallery w:val="Table of Contents"/>
          <w:docPartUnique/>
        </w:docPartObj>
      </w:sdtPr>
      <w:sdtEndPr>
        <w:rPr>
          <w:noProof/>
        </w:rPr>
      </w:sdtEndPr>
      <w:sdtContent>
        <w:p w14:paraId="18CE07A5" w14:textId="04FE105E" w:rsidR="006F0560" w:rsidRDefault="006F0560" w:rsidP="001B0740">
          <w:pPr>
            <w:pStyle w:val="TOCHeading"/>
            <w:jc w:val="center"/>
          </w:pPr>
          <w:r>
            <w:t>Table of Contents</w:t>
          </w:r>
        </w:p>
        <w:p w14:paraId="4A76276D" w14:textId="23783A7A" w:rsidR="00594828" w:rsidRDefault="006F0560" w:rsidP="00594828">
          <w:pPr>
            <w:pStyle w:val="TOC1"/>
            <w:tabs>
              <w:tab w:val="right" w:leader="dot" w:pos="9350"/>
            </w:tabs>
            <w:rPr>
              <w:rFonts w:eastAsiaTheme="minorEastAsia" w:cstheme="minorBidi"/>
              <w:b w:val="0"/>
              <w:bCs w:val="0"/>
              <w:i w:val="0"/>
              <w:iCs w:val="0"/>
              <w:noProof/>
              <w:color w:val="auto"/>
              <w:kern w:val="2"/>
              <w14:ligatures w14:val="standardContextual"/>
            </w:rPr>
          </w:pPr>
          <w:r>
            <w:rPr>
              <w:b w:val="0"/>
              <w:bCs w:val="0"/>
            </w:rPr>
            <w:fldChar w:fldCharType="begin"/>
          </w:r>
          <w:r>
            <w:instrText xml:space="preserve"> TOC \o "1-3" \h \z \u </w:instrText>
          </w:r>
          <w:r>
            <w:rPr>
              <w:b w:val="0"/>
              <w:bCs w:val="0"/>
            </w:rPr>
            <w:fldChar w:fldCharType="separate"/>
          </w:r>
        </w:p>
        <w:p w14:paraId="31D3544B" w14:textId="4A3040E3"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75" w:history="1">
            <w:r w:rsidRPr="007C5E0A">
              <w:rPr>
                <w:rStyle w:val="Hyperlink"/>
                <w:noProof/>
              </w:rPr>
              <w:t>Preface</w:t>
            </w:r>
            <w:r>
              <w:rPr>
                <w:noProof/>
                <w:webHidden/>
              </w:rPr>
              <w:tab/>
            </w:r>
            <w:r>
              <w:rPr>
                <w:noProof/>
                <w:webHidden/>
              </w:rPr>
              <w:fldChar w:fldCharType="begin"/>
            </w:r>
            <w:r>
              <w:rPr>
                <w:noProof/>
                <w:webHidden/>
              </w:rPr>
              <w:instrText xml:space="preserve"> PAGEREF _Toc181041675 \h </w:instrText>
            </w:r>
            <w:r>
              <w:rPr>
                <w:noProof/>
                <w:webHidden/>
              </w:rPr>
            </w:r>
            <w:r>
              <w:rPr>
                <w:noProof/>
                <w:webHidden/>
              </w:rPr>
              <w:fldChar w:fldCharType="separate"/>
            </w:r>
            <w:r w:rsidR="00520017">
              <w:rPr>
                <w:noProof/>
                <w:webHidden/>
              </w:rPr>
              <w:t>1</w:t>
            </w:r>
            <w:r>
              <w:rPr>
                <w:noProof/>
                <w:webHidden/>
              </w:rPr>
              <w:fldChar w:fldCharType="end"/>
            </w:r>
          </w:hyperlink>
        </w:p>
        <w:p w14:paraId="135596F8" w14:textId="274A2E10"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76" w:history="1">
            <w:r w:rsidRPr="007C5E0A">
              <w:rPr>
                <w:rStyle w:val="Hyperlink"/>
                <w:noProof/>
              </w:rPr>
              <w:t>1. Synopsis</w:t>
            </w:r>
            <w:r>
              <w:rPr>
                <w:noProof/>
                <w:webHidden/>
              </w:rPr>
              <w:tab/>
            </w:r>
            <w:r>
              <w:rPr>
                <w:noProof/>
                <w:webHidden/>
              </w:rPr>
              <w:fldChar w:fldCharType="begin"/>
            </w:r>
            <w:r>
              <w:rPr>
                <w:noProof/>
                <w:webHidden/>
              </w:rPr>
              <w:instrText xml:space="preserve"> PAGEREF _Toc181041676 \h </w:instrText>
            </w:r>
            <w:r>
              <w:rPr>
                <w:noProof/>
                <w:webHidden/>
              </w:rPr>
            </w:r>
            <w:r>
              <w:rPr>
                <w:noProof/>
                <w:webHidden/>
              </w:rPr>
              <w:fldChar w:fldCharType="separate"/>
            </w:r>
            <w:r w:rsidR="00520017">
              <w:rPr>
                <w:noProof/>
                <w:webHidden/>
              </w:rPr>
              <w:t>1</w:t>
            </w:r>
            <w:r>
              <w:rPr>
                <w:noProof/>
                <w:webHidden/>
              </w:rPr>
              <w:fldChar w:fldCharType="end"/>
            </w:r>
          </w:hyperlink>
        </w:p>
        <w:p w14:paraId="558D53C7" w14:textId="1CAEF95C"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77" w:history="1">
            <w:r w:rsidRPr="007C5E0A">
              <w:rPr>
                <w:rStyle w:val="Hyperlink"/>
                <w:noProof/>
              </w:rPr>
              <w:t>2. Background and Algorithm Overview</w:t>
            </w:r>
            <w:r>
              <w:rPr>
                <w:noProof/>
                <w:webHidden/>
              </w:rPr>
              <w:tab/>
            </w:r>
            <w:r>
              <w:rPr>
                <w:noProof/>
                <w:webHidden/>
              </w:rPr>
              <w:fldChar w:fldCharType="begin"/>
            </w:r>
            <w:r>
              <w:rPr>
                <w:noProof/>
                <w:webHidden/>
              </w:rPr>
              <w:instrText xml:space="preserve"> PAGEREF _Toc181041677 \h </w:instrText>
            </w:r>
            <w:r>
              <w:rPr>
                <w:noProof/>
                <w:webHidden/>
              </w:rPr>
            </w:r>
            <w:r>
              <w:rPr>
                <w:noProof/>
                <w:webHidden/>
              </w:rPr>
              <w:fldChar w:fldCharType="separate"/>
            </w:r>
            <w:r w:rsidR="00520017">
              <w:rPr>
                <w:noProof/>
                <w:webHidden/>
              </w:rPr>
              <w:t>2</w:t>
            </w:r>
            <w:r>
              <w:rPr>
                <w:noProof/>
                <w:webHidden/>
              </w:rPr>
              <w:fldChar w:fldCharType="end"/>
            </w:r>
          </w:hyperlink>
        </w:p>
        <w:p w14:paraId="29D3CF2A" w14:textId="5D5B6B7E"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78" w:history="1">
            <w:r w:rsidRPr="007C5E0A">
              <w:rPr>
                <w:rStyle w:val="Hyperlink"/>
                <w:noProof/>
              </w:rPr>
              <w:t>2.1 Surface Energy Balance</w:t>
            </w:r>
            <w:r>
              <w:rPr>
                <w:noProof/>
                <w:webHidden/>
              </w:rPr>
              <w:tab/>
            </w:r>
            <w:r>
              <w:rPr>
                <w:noProof/>
                <w:webHidden/>
              </w:rPr>
              <w:fldChar w:fldCharType="begin"/>
            </w:r>
            <w:r>
              <w:rPr>
                <w:noProof/>
                <w:webHidden/>
              </w:rPr>
              <w:instrText xml:space="preserve"> PAGEREF _Toc181041678 \h </w:instrText>
            </w:r>
            <w:r>
              <w:rPr>
                <w:noProof/>
                <w:webHidden/>
              </w:rPr>
            </w:r>
            <w:r>
              <w:rPr>
                <w:noProof/>
                <w:webHidden/>
              </w:rPr>
              <w:fldChar w:fldCharType="separate"/>
            </w:r>
            <w:r w:rsidR="00520017">
              <w:rPr>
                <w:noProof/>
                <w:webHidden/>
              </w:rPr>
              <w:t>2</w:t>
            </w:r>
            <w:r>
              <w:rPr>
                <w:noProof/>
                <w:webHidden/>
              </w:rPr>
              <w:fldChar w:fldCharType="end"/>
            </w:r>
          </w:hyperlink>
        </w:p>
        <w:p w14:paraId="3DBF37E1" w14:textId="4BA085CB"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79" w:history="1">
            <w:r w:rsidRPr="007C5E0A">
              <w:rPr>
                <w:rStyle w:val="Hyperlink"/>
                <w:noProof/>
              </w:rPr>
              <w:t>2.2 The Penman-Monteith (PM) Approach</w:t>
            </w:r>
            <w:r>
              <w:rPr>
                <w:noProof/>
                <w:webHidden/>
              </w:rPr>
              <w:tab/>
            </w:r>
            <w:r>
              <w:rPr>
                <w:noProof/>
                <w:webHidden/>
              </w:rPr>
              <w:fldChar w:fldCharType="begin"/>
            </w:r>
            <w:r>
              <w:rPr>
                <w:noProof/>
                <w:webHidden/>
              </w:rPr>
              <w:instrText xml:space="preserve"> PAGEREF _Toc181041679 \h </w:instrText>
            </w:r>
            <w:r>
              <w:rPr>
                <w:noProof/>
                <w:webHidden/>
              </w:rPr>
            </w:r>
            <w:r>
              <w:rPr>
                <w:noProof/>
                <w:webHidden/>
              </w:rPr>
              <w:fldChar w:fldCharType="separate"/>
            </w:r>
            <w:r w:rsidR="00520017">
              <w:rPr>
                <w:noProof/>
                <w:webHidden/>
              </w:rPr>
              <w:t>3</w:t>
            </w:r>
            <w:r>
              <w:rPr>
                <w:noProof/>
                <w:webHidden/>
              </w:rPr>
              <w:fldChar w:fldCharType="end"/>
            </w:r>
          </w:hyperlink>
        </w:p>
        <w:p w14:paraId="6BCF805D" w14:textId="03C8D060"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80" w:history="1">
            <w:r w:rsidRPr="007C5E0A">
              <w:rPr>
                <w:rStyle w:val="Hyperlink"/>
                <w:noProof/>
              </w:rPr>
              <w:t>3. Evapotranspiration Model Logic</w:t>
            </w:r>
            <w:r>
              <w:rPr>
                <w:noProof/>
                <w:webHidden/>
              </w:rPr>
              <w:tab/>
            </w:r>
            <w:r>
              <w:rPr>
                <w:noProof/>
                <w:webHidden/>
              </w:rPr>
              <w:fldChar w:fldCharType="begin"/>
            </w:r>
            <w:r>
              <w:rPr>
                <w:noProof/>
                <w:webHidden/>
              </w:rPr>
              <w:instrText xml:space="preserve"> PAGEREF _Toc181041680 \h </w:instrText>
            </w:r>
            <w:r>
              <w:rPr>
                <w:noProof/>
                <w:webHidden/>
              </w:rPr>
            </w:r>
            <w:r>
              <w:rPr>
                <w:noProof/>
                <w:webHidden/>
              </w:rPr>
              <w:fldChar w:fldCharType="separate"/>
            </w:r>
            <w:r w:rsidR="00520017">
              <w:rPr>
                <w:noProof/>
                <w:webHidden/>
              </w:rPr>
              <w:t>4</w:t>
            </w:r>
            <w:r>
              <w:rPr>
                <w:noProof/>
                <w:webHidden/>
              </w:rPr>
              <w:fldChar w:fldCharType="end"/>
            </w:r>
          </w:hyperlink>
        </w:p>
        <w:p w14:paraId="127C5085" w14:textId="644552CC"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81" w:history="1">
            <w:r w:rsidRPr="007C5E0A">
              <w:rPr>
                <w:rStyle w:val="Hyperlink"/>
                <w:noProof/>
              </w:rPr>
              <w:t>3.1 The VNP16 Algorithm</w:t>
            </w:r>
            <w:r>
              <w:rPr>
                <w:noProof/>
                <w:webHidden/>
              </w:rPr>
              <w:tab/>
            </w:r>
            <w:r>
              <w:rPr>
                <w:noProof/>
                <w:webHidden/>
              </w:rPr>
              <w:fldChar w:fldCharType="begin"/>
            </w:r>
            <w:r>
              <w:rPr>
                <w:noProof/>
                <w:webHidden/>
              </w:rPr>
              <w:instrText xml:space="preserve"> PAGEREF _Toc181041681 \h </w:instrText>
            </w:r>
            <w:r>
              <w:rPr>
                <w:noProof/>
                <w:webHidden/>
              </w:rPr>
            </w:r>
            <w:r>
              <w:rPr>
                <w:noProof/>
                <w:webHidden/>
              </w:rPr>
              <w:fldChar w:fldCharType="separate"/>
            </w:r>
            <w:r w:rsidR="00520017">
              <w:rPr>
                <w:noProof/>
                <w:webHidden/>
              </w:rPr>
              <w:t>4</w:t>
            </w:r>
            <w:r>
              <w:rPr>
                <w:noProof/>
                <w:webHidden/>
              </w:rPr>
              <w:fldChar w:fldCharType="end"/>
            </w:r>
          </w:hyperlink>
        </w:p>
        <w:p w14:paraId="4629C4F9" w14:textId="0209FA5E"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682" w:history="1">
            <w:r w:rsidRPr="007C5E0A">
              <w:rPr>
                <w:rStyle w:val="Hyperlink"/>
                <w:noProof/>
              </w:rPr>
              <w:t>3.1.2 Vapor Pressure, Humidity, and Saturated Fraction</w:t>
            </w:r>
            <w:r>
              <w:rPr>
                <w:noProof/>
                <w:webHidden/>
              </w:rPr>
              <w:tab/>
            </w:r>
            <w:r>
              <w:rPr>
                <w:noProof/>
                <w:webHidden/>
              </w:rPr>
              <w:fldChar w:fldCharType="begin"/>
            </w:r>
            <w:r>
              <w:rPr>
                <w:noProof/>
                <w:webHidden/>
              </w:rPr>
              <w:instrText xml:space="preserve"> PAGEREF _Toc181041682 \h </w:instrText>
            </w:r>
            <w:r>
              <w:rPr>
                <w:noProof/>
                <w:webHidden/>
              </w:rPr>
            </w:r>
            <w:r>
              <w:rPr>
                <w:noProof/>
                <w:webHidden/>
              </w:rPr>
              <w:fldChar w:fldCharType="separate"/>
            </w:r>
            <w:r w:rsidR="00520017">
              <w:rPr>
                <w:noProof/>
                <w:webHidden/>
              </w:rPr>
              <w:t>6</w:t>
            </w:r>
            <w:r>
              <w:rPr>
                <w:noProof/>
                <w:webHidden/>
              </w:rPr>
              <w:fldChar w:fldCharType="end"/>
            </w:r>
          </w:hyperlink>
        </w:p>
        <w:p w14:paraId="4B76694F" w14:textId="6A316567"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683" w:history="1">
            <w:r w:rsidRPr="007C5E0A">
              <w:rPr>
                <w:rStyle w:val="Hyperlink"/>
                <w:noProof/>
              </w:rPr>
              <w:t>3.1.3 Evaporation from Wet Canopy</w:t>
            </w:r>
            <w:r>
              <w:rPr>
                <w:noProof/>
                <w:webHidden/>
              </w:rPr>
              <w:tab/>
            </w:r>
            <w:r>
              <w:rPr>
                <w:noProof/>
                <w:webHidden/>
              </w:rPr>
              <w:fldChar w:fldCharType="begin"/>
            </w:r>
            <w:r>
              <w:rPr>
                <w:noProof/>
                <w:webHidden/>
              </w:rPr>
              <w:instrText xml:space="preserve"> PAGEREF _Toc181041683 \h </w:instrText>
            </w:r>
            <w:r>
              <w:rPr>
                <w:noProof/>
                <w:webHidden/>
              </w:rPr>
            </w:r>
            <w:r>
              <w:rPr>
                <w:noProof/>
                <w:webHidden/>
              </w:rPr>
              <w:fldChar w:fldCharType="separate"/>
            </w:r>
            <w:r w:rsidR="00520017">
              <w:rPr>
                <w:noProof/>
                <w:webHidden/>
              </w:rPr>
              <w:t>7</w:t>
            </w:r>
            <w:r>
              <w:rPr>
                <w:noProof/>
                <w:webHidden/>
              </w:rPr>
              <w:fldChar w:fldCharType="end"/>
            </w:r>
          </w:hyperlink>
        </w:p>
        <w:p w14:paraId="18B2E846" w14:textId="5CD40D65"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684" w:history="1">
            <w:r w:rsidRPr="007C5E0A">
              <w:rPr>
                <w:rStyle w:val="Hyperlink"/>
                <w:noProof/>
              </w:rPr>
              <w:t>3.1.4 Evaporation from Bare Soil Surfaces</w:t>
            </w:r>
            <w:r>
              <w:rPr>
                <w:noProof/>
                <w:webHidden/>
              </w:rPr>
              <w:tab/>
            </w:r>
            <w:r>
              <w:rPr>
                <w:noProof/>
                <w:webHidden/>
              </w:rPr>
              <w:fldChar w:fldCharType="begin"/>
            </w:r>
            <w:r>
              <w:rPr>
                <w:noProof/>
                <w:webHidden/>
              </w:rPr>
              <w:instrText xml:space="preserve"> PAGEREF _Toc181041684 \h </w:instrText>
            </w:r>
            <w:r>
              <w:rPr>
                <w:noProof/>
                <w:webHidden/>
              </w:rPr>
            </w:r>
            <w:r>
              <w:rPr>
                <w:noProof/>
                <w:webHidden/>
              </w:rPr>
              <w:fldChar w:fldCharType="separate"/>
            </w:r>
            <w:r w:rsidR="00520017">
              <w:rPr>
                <w:noProof/>
                <w:webHidden/>
              </w:rPr>
              <w:t>8</w:t>
            </w:r>
            <w:r>
              <w:rPr>
                <w:noProof/>
                <w:webHidden/>
              </w:rPr>
              <w:fldChar w:fldCharType="end"/>
            </w:r>
          </w:hyperlink>
        </w:p>
        <w:p w14:paraId="2285807A" w14:textId="3FD6480D"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685" w:history="1">
            <w:r w:rsidRPr="007C5E0A">
              <w:rPr>
                <w:rStyle w:val="Hyperlink"/>
                <w:noProof/>
              </w:rPr>
              <w:t>3.1.5 Canopy Transpiration</w:t>
            </w:r>
            <w:r>
              <w:rPr>
                <w:noProof/>
                <w:webHidden/>
              </w:rPr>
              <w:tab/>
            </w:r>
            <w:r>
              <w:rPr>
                <w:noProof/>
                <w:webHidden/>
              </w:rPr>
              <w:fldChar w:fldCharType="begin"/>
            </w:r>
            <w:r>
              <w:rPr>
                <w:noProof/>
                <w:webHidden/>
              </w:rPr>
              <w:instrText xml:space="preserve"> PAGEREF _Toc181041685 \h </w:instrText>
            </w:r>
            <w:r>
              <w:rPr>
                <w:noProof/>
                <w:webHidden/>
              </w:rPr>
            </w:r>
            <w:r>
              <w:rPr>
                <w:noProof/>
                <w:webHidden/>
              </w:rPr>
              <w:fldChar w:fldCharType="separate"/>
            </w:r>
            <w:r w:rsidR="00520017">
              <w:rPr>
                <w:noProof/>
                <w:webHidden/>
              </w:rPr>
              <w:t>10</w:t>
            </w:r>
            <w:r>
              <w:rPr>
                <w:noProof/>
                <w:webHidden/>
              </w:rPr>
              <w:fldChar w:fldCharType="end"/>
            </w:r>
          </w:hyperlink>
        </w:p>
        <w:p w14:paraId="769E80E3" w14:textId="2C2E2A1D"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86" w:history="1">
            <w:r w:rsidRPr="007C5E0A">
              <w:rPr>
                <w:rStyle w:val="Hyperlink"/>
                <w:noProof/>
              </w:rPr>
              <w:t>3.2 Total Daily ET and Potential ET</w:t>
            </w:r>
            <w:r>
              <w:rPr>
                <w:noProof/>
                <w:webHidden/>
              </w:rPr>
              <w:tab/>
            </w:r>
            <w:r>
              <w:rPr>
                <w:noProof/>
                <w:webHidden/>
              </w:rPr>
              <w:fldChar w:fldCharType="begin"/>
            </w:r>
            <w:r>
              <w:rPr>
                <w:noProof/>
                <w:webHidden/>
              </w:rPr>
              <w:instrText xml:space="preserve"> PAGEREF _Toc181041686 \h </w:instrText>
            </w:r>
            <w:r>
              <w:rPr>
                <w:noProof/>
                <w:webHidden/>
              </w:rPr>
            </w:r>
            <w:r>
              <w:rPr>
                <w:noProof/>
                <w:webHidden/>
              </w:rPr>
              <w:fldChar w:fldCharType="separate"/>
            </w:r>
            <w:r w:rsidR="00520017">
              <w:rPr>
                <w:noProof/>
                <w:webHidden/>
              </w:rPr>
              <w:t>11</w:t>
            </w:r>
            <w:r>
              <w:rPr>
                <w:noProof/>
                <w:webHidden/>
              </w:rPr>
              <w:fldChar w:fldCharType="end"/>
            </w:r>
          </w:hyperlink>
        </w:p>
        <w:p w14:paraId="39C389FD" w14:textId="19943236"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87" w:history="1">
            <w:r w:rsidRPr="007C5E0A">
              <w:rPr>
                <w:rStyle w:val="Hyperlink"/>
                <w:noProof/>
              </w:rPr>
              <w:t>3.3 Free Parameters</w:t>
            </w:r>
            <w:r>
              <w:rPr>
                <w:noProof/>
                <w:webHidden/>
              </w:rPr>
              <w:tab/>
            </w:r>
            <w:r>
              <w:rPr>
                <w:noProof/>
                <w:webHidden/>
              </w:rPr>
              <w:fldChar w:fldCharType="begin"/>
            </w:r>
            <w:r>
              <w:rPr>
                <w:noProof/>
                <w:webHidden/>
              </w:rPr>
              <w:instrText xml:space="preserve"> PAGEREF _Toc181041687 \h </w:instrText>
            </w:r>
            <w:r>
              <w:rPr>
                <w:noProof/>
                <w:webHidden/>
              </w:rPr>
            </w:r>
            <w:r>
              <w:rPr>
                <w:noProof/>
                <w:webHidden/>
              </w:rPr>
              <w:fldChar w:fldCharType="separate"/>
            </w:r>
            <w:r w:rsidR="00520017">
              <w:rPr>
                <w:noProof/>
                <w:webHidden/>
              </w:rPr>
              <w:t>12</w:t>
            </w:r>
            <w:r>
              <w:rPr>
                <w:noProof/>
                <w:webHidden/>
              </w:rPr>
              <w:fldChar w:fldCharType="end"/>
            </w:r>
          </w:hyperlink>
        </w:p>
        <w:p w14:paraId="1D917C9D" w14:textId="582FF26A"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88" w:history="1">
            <w:r w:rsidRPr="007C5E0A">
              <w:rPr>
                <w:rStyle w:val="Hyperlink"/>
                <w:noProof/>
              </w:rPr>
              <w:t>4</w:t>
            </w:r>
            <w:r w:rsidRPr="007C5E0A">
              <w:rPr>
                <w:rStyle w:val="Hyperlink"/>
                <w:rFonts w:ascii="wasy10" w:eastAsia="wasy10" w:hAnsi="wasy10" w:cs="wasy10"/>
                <w:noProof/>
              </w:rPr>
              <w:t>.</w:t>
            </w:r>
            <w:r w:rsidRPr="007C5E0A">
              <w:rPr>
                <w:rStyle w:val="Hyperlink"/>
                <w:noProof/>
              </w:rPr>
              <w:t xml:space="preserve"> Operational Details and Uncertainty of VNP16</w:t>
            </w:r>
            <w:r>
              <w:rPr>
                <w:noProof/>
                <w:webHidden/>
              </w:rPr>
              <w:tab/>
            </w:r>
            <w:r>
              <w:rPr>
                <w:noProof/>
                <w:webHidden/>
              </w:rPr>
              <w:fldChar w:fldCharType="begin"/>
            </w:r>
            <w:r>
              <w:rPr>
                <w:noProof/>
                <w:webHidden/>
              </w:rPr>
              <w:instrText xml:space="preserve"> PAGEREF _Toc181041688 \h </w:instrText>
            </w:r>
            <w:r>
              <w:rPr>
                <w:noProof/>
                <w:webHidden/>
              </w:rPr>
            </w:r>
            <w:r>
              <w:rPr>
                <w:noProof/>
                <w:webHidden/>
              </w:rPr>
              <w:fldChar w:fldCharType="separate"/>
            </w:r>
            <w:r w:rsidR="00520017">
              <w:rPr>
                <w:noProof/>
                <w:webHidden/>
              </w:rPr>
              <w:t>12</w:t>
            </w:r>
            <w:r>
              <w:rPr>
                <w:noProof/>
                <w:webHidden/>
              </w:rPr>
              <w:fldChar w:fldCharType="end"/>
            </w:r>
          </w:hyperlink>
        </w:p>
        <w:p w14:paraId="7166545F" w14:textId="692BFCBA"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89" w:history="1">
            <w:r w:rsidRPr="007C5E0A">
              <w:rPr>
                <w:rStyle w:val="Hyperlink"/>
                <w:noProof/>
              </w:rPr>
              <w:t>4.1 Dependence on MODIS Land-Cover Classification</w:t>
            </w:r>
            <w:r>
              <w:rPr>
                <w:noProof/>
                <w:webHidden/>
              </w:rPr>
              <w:tab/>
            </w:r>
            <w:r>
              <w:rPr>
                <w:noProof/>
                <w:webHidden/>
              </w:rPr>
              <w:fldChar w:fldCharType="begin"/>
            </w:r>
            <w:r>
              <w:rPr>
                <w:noProof/>
                <w:webHidden/>
              </w:rPr>
              <w:instrText xml:space="preserve"> PAGEREF _Toc181041689 \h </w:instrText>
            </w:r>
            <w:r>
              <w:rPr>
                <w:noProof/>
                <w:webHidden/>
              </w:rPr>
            </w:r>
            <w:r>
              <w:rPr>
                <w:noProof/>
                <w:webHidden/>
              </w:rPr>
              <w:fldChar w:fldCharType="separate"/>
            </w:r>
            <w:r w:rsidR="00520017">
              <w:rPr>
                <w:noProof/>
                <w:webHidden/>
              </w:rPr>
              <w:t>12</w:t>
            </w:r>
            <w:r>
              <w:rPr>
                <w:noProof/>
                <w:webHidden/>
              </w:rPr>
              <w:fldChar w:fldCharType="end"/>
            </w:r>
          </w:hyperlink>
        </w:p>
        <w:p w14:paraId="7DBFA955" w14:textId="183FB8CC"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90" w:history="1">
            <w:r w:rsidRPr="007C5E0A">
              <w:rPr>
                <w:rStyle w:val="Hyperlink"/>
                <w:noProof/>
              </w:rPr>
              <w:t>4.2 Assumption of Constant Biome Properties</w:t>
            </w:r>
            <w:r>
              <w:rPr>
                <w:noProof/>
                <w:webHidden/>
              </w:rPr>
              <w:tab/>
            </w:r>
            <w:r>
              <w:rPr>
                <w:noProof/>
                <w:webHidden/>
              </w:rPr>
              <w:fldChar w:fldCharType="begin"/>
            </w:r>
            <w:r>
              <w:rPr>
                <w:noProof/>
                <w:webHidden/>
              </w:rPr>
              <w:instrText xml:space="preserve"> PAGEREF _Toc181041690 \h </w:instrText>
            </w:r>
            <w:r>
              <w:rPr>
                <w:noProof/>
                <w:webHidden/>
              </w:rPr>
            </w:r>
            <w:r>
              <w:rPr>
                <w:noProof/>
                <w:webHidden/>
              </w:rPr>
              <w:fldChar w:fldCharType="separate"/>
            </w:r>
            <w:r w:rsidR="00520017">
              <w:rPr>
                <w:noProof/>
                <w:webHidden/>
              </w:rPr>
              <w:t>14</w:t>
            </w:r>
            <w:r>
              <w:rPr>
                <w:noProof/>
                <w:webHidden/>
              </w:rPr>
              <w:fldChar w:fldCharType="end"/>
            </w:r>
          </w:hyperlink>
        </w:p>
        <w:p w14:paraId="3CD02694" w14:textId="454EBA44"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91" w:history="1">
            <w:r w:rsidRPr="007C5E0A">
              <w:rPr>
                <w:rStyle w:val="Hyperlink"/>
                <w:noProof/>
              </w:rPr>
              <w:t>4.3 Vegetation Properties and Albedo</w:t>
            </w:r>
            <w:r>
              <w:rPr>
                <w:noProof/>
                <w:webHidden/>
              </w:rPr>
              <w:tab/>
            </w:r>
            <w:r>
              <w:rPr>
                <w:noProof/>
                <w:webHidden/>
              </w:rPr>
              <w:fldChar w:fldCharType="begin"/>
            </w:r>
            <w:r>
              <w:rPr>
                <w:noProof/>
                <w:webHidden/>
              </w:rPr>
              <w:instrText xml:space="preserve"> PAGEREF _Toc181041691 \h </w:instrText>
            </w:r>
            <w:r>
              <w:rPr>
                <w:noProof/>
                <w:webHidden/>
              </w:rPr>
            </w:r>
            <w:r>
              <w:rPr>
                <w:noProof/>
                <w:webHidden/>
              </w:rPr>
              <w:fldChar w:fldCharType="separate"/>
            </w:r>
            <w:r w:rsidR="00520017">
              <w:rPr>
                <w:noProof/>
                <w:webHidden/>
              </w:rPr>
              <w:t>16</w:t>
            </w:r>
            <w:r>
              <w:rPr>
                <w:noProof/>
                <w:webHidden/>
              </w:rPr>
              <w:fldChar w:fldCharType="end"/>
            </w:r>
          </w:hyperlink>
        </w:p>
        <w:p w14:paraId="1864C99E" w14:textId="2C1329B5"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92" w:history="1">
            <w:r w:rsidRPr="007C5E0A">
              <w:rPr>
                <w:rStyle w:val="Hyperlink"/>
                <w:noProof/>
              </w:rPr>
              <w:t>4.4 Cloud/Aerosol Screening and Year-End Gap-Filling</w:t>
            </w:r>
            <w:r>
              <w:rPr>
                <w:noProof/>
                <w:webHidden/>
              </w:rPr>
              <w:tab/>
            </w:r>
            <w:r>
              <w:rPr>
                <w:noProof/>
                <w:webHidden/>
              </w:rPr>
              <w:fldChar w:fldCharType="begin"/>
            </w:r>
            <w:r>
              <w:rPr>
                <w:noProof/>
                <w:webHidden/>
              </w:rPr>
              <w:instrText xml:space="preserve"> PAGEREF _Toc181041692 \h </w:instrText>
            </w:r>
            <w:r>
              <w:rPr>
                <w:noProof/>
                <w:webHidden/>
              </w:rPr>
            </w:r>
            <w:r>
              <w:rPr>
                <w:noProof/>
                <w:webHidden/>
              </w:rPr>
              <w:fldChar w:fldCharType="separate"/>
            </w:r>
            <w:r w:rsidR="00520017">
              <w:rPr>
                <w:noProof/>
                <w:webHidden/>
              </w:rPr>
              <w:t>16</w:t>
            </w:r>
            <w:r>
              <w:rPr>
                <w:noProof/>
                <w:webHidden/>
              </w:rPr>
              <w:fldChar w:fldCharType="end"/>
            </w:r>
          </w:hyperlink>
        </w:p>
        <w:p w14:paraId="6D9781AC" w14:textId="3C48DD69"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693" w:history="1">
            <w:r w:rsidRPr="007C5E0A">
              <w:rPr>
                <w:rStyle w:val="Hyperlink"/>
                <w:noProof/>
              </w:rPr>
              <w:t>4.4.1 fPAR/LAI Climatology and Forward VNP16A2</w:t>
            </w:r>
            <w:r>
              <w:rPr>
                <w:noProof/>
                <w:webHidden/>
              </w:rPr>
              <w:tab/>
            </w:r>
            <w:r>
              <w:rPr>
                <w:noProof/>
                <w:webHidden/>
              </w:rPr>
              <w:fldChar w:fldCharType="begin"/>
            </w:r>
            <w:r>
              <w:rPr>
                <w:noProof/>
                <w:webHidden/>
              </w:rPr>
              <w:instrText xml:space="preserve"> PAGEREF _Toc181041693 \h </w:instrText>
            </w:r>
            <w:r>
              <w:rPr>
                <w:noProof/>
                <w:webHidden/>
              </w:rPr>
            </w:r>
            <w:r>
              <w:rPr>
                <w:noProof/>
                <w:webHidden/>
              </w:rPr>
              <w:fldChar w:fldCharType="separate"/>
            </w:r>
            <w:r w:rsidR="00520017">
              <w:rPr>
                <w:noProof/>
                <w:webHidden/>
              </w:rPr>
              <w:t>17</w:t>
            </w:r>
            <w:r>
              <w:rPr>
                <w:noProof/>
                <w:webHidden/>
              </w:rPr>
              <w:fldChar w:fldCharType="end"/>
            </w:r>
          </w:hyperlink>
        </w:p>
        <w:p w14:paraId="68568411" w14:textId="380564B8"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694" w:history="1">
            <w:r w:rsidRPr="007C5E0A">
              <w:rPr>
                <w:rStyle w:val="Hyperlink"/>
                <w:noProof/>
              </w:rPr>
              <w:t>4.4.2 Year-end Gap-filled VNP16A2[3]GF</w:t>
            </w:r>
            <w:r>
              <w:rPr>
                <w:noProof/>
                <w:webHidden/>
              </w:rPr>
              <w:tab/>
            </w:r>
            <w:r>
              <w:rPr>
                <w:noProof/>
                <w:webHidden/>
              </w:rPr>
              <w:fldChar w:fldCharType="begin"/>
            </w:r>
            <w:r>
              <w:rPr>
                <w:noProof/>
                <w:webHidden/>
              </w:rPr>
              <w:instrText xml:space="preserve"> PAGEREF _Toc181041694 \h </w:instrText>
            </w:r>
            <w:r>
              <w:rPr>
                <w:noProof/>
                <w:webHidden/>
              </w:rPr>
            </w:r>
            <w:r>
              <w:rPr>
                <w:noProof/>
                <w:webHidden/>
              </w:rPr>
              <w:fldChar w:fldCharType="separate"/>
            </w:r>
            <w:r w:rsidR="00520017">
              <w:rPr>
                <w:noProof/>
                <w:webHidden/>
              </w:rPr>
              <w:t>19</w:t>
            </w:r>
            <w:r>
              <w:rPr>
                <w:noProof/>
                <w:webHidden/>
              </w:rPr>
              <w:fldChar w:fldCharType="end"/>
            </w:r>
          </w:hyperlink>
        </w:p>
        <w:p w14:paraId="5A155F42" w14:textId="07E2F9CF"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95" w:history="1">
            <w:r w:rsidRPr="007C5E0A">
              <w:rPr>
                <w:rStyle w:val="Hyperlink"/>
                <w:noProof/>
              </w:rPr>
              <w:t>4.5 GMAO Hourly Meteorological Data</w:t>
            </w:r>
            <w:r>
              <w:rPr>
                <w:noProof/>
                <w:webHidden/>
              </w:rPr>
              <w:tab/>
            </w:r>
            <w:r>
              <w:rPr>
                <w:noProof/>
                <w:webHidden/>
              </w:rPr>
              <w:fldChar w:fldCharType="begin"/>
            </w:r>
            <w:r>
              <w:rPr>
                <w:noProof/>
                <w:webHidden/>
              </w:rPr>
              <w:instrText xml:space="preserve"> PAGEREF _Toc181041695 \h </w:instrText>
            </w:r>
            <w:r>
              <w:rPr>
                <w:noProof/>
                <w:webHidden/>
              </w:rPr>
            </w:r>
            <w:r>
              <w:rPr>
                <w:noProof/>
                <w:webHidden/>
              </w:rPr>
              <w:fldChar w:fldCharType="separate"/>
            </w:r>
            <w:r w:rsidR="00520017">
              <w:rPr>
                <w:noProof/>
                <w:webHidden/>
              </w:rPr>
              <w:t>21</w:t>
            </w:r>
            <w:r>
              <w:rPr>
                <w:noProof/>
                <w:webHidden/>
              </w:rPr>
              <w:fldChar w:fldCharType="end"/>
            </w:r>
          </w:hyperlink>
        </w:p>
        <w:p w14:paraId="00F45414" w14:textId="7F6EEE05"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96" w:history="1">
            <w:r w:rsidRPr="007C5E0A">
              <w:rPr>
                <w:rStyle w:val="Hyperlink"/>
                <w:noProof/>
              </w:rPr>
              <w:t>4.6 Validation of VNP16/VJ116</w:t>
            </w:r>
            <w:r>
              <w:rPr>
                <w:noProof/>
                <w:webHidden/>
              </w:rPr>
              <w:tab/>
            </w:r>
            <w:r>
              <w:rPr>
                <w:noProof/>
                <w:webHidden/>
              </w:rPr>
              <w:fldChar w:fldCharType="begin"/>
            </w:r>
            <w:r>
              <w:rPr>
                <w:noProof/>
                <w:webHidden/>
              </w:rPr>
              <w:instrText xml:space="preserve"> PAGEREF _Toc181041696 \h </w:instrText>
            </w:r>
            <w:r>
              <w:rPr>
                <w:noProof/>
                <w:webHidden/>
              </w:rPr>
            </w:r>
            <w:r>
              <w:rPr>
                <w:noProof/>
                <w:webHidden/>
              </w:rPr>
              <w:fldChar w:fldCharType="separate"/>
            </w:r>
            <w:r w:rsidR="00520017">
              <w:rPr>
                <w:noProof/>
                <w:webHidden/>
              </w:rPr>
              <w:t>23</w:t>
            </w:r>
            <w:r>
              <w:rPr>
                <w:noProof/>
                <w:webHidden/>
              </w:rPr>
              <w:fldChar w:fldCharType="end"/>
            </w:r>
          </w:hyperlink>
        </w:p>
        <w:p w14:paraId="384A225D" w14:textId="7D83C4C5"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697" w:history="1">
            <w:r w:rsidRPr="007C5E0A">
              <w:rPr>
                <w:rStyle w:val="Hyperlink"/>
                <w:noProof/>
              </w:rPr>
              <w:t>5. Description of 500-m VNP16/VJ116 Data Products</w:t>
            </w:r>
            <w:r>
              <w:rPr>
                <w:noProof/>
                <w:webHidden/>
              </w:rPr>
              <w:tab/>
            </w:r>
            <w:r>
              <w:rPr>
                <w:noProof/>
                <w:webHidden/>
              </w:rPr>
              <w:fldChar w:fldCharType="begin"/>
            </w:r>
            <w:r>
              <w:rPr>
                <w:noProof/>
                <w:webHidden/>
              </w:rPr>
              <w:instrText xml:space="preserve"> PAGEREF _Toc181041697 \h </w:instrText>
            </w:r>
            <w:r>
              <w:rPr>
                <w:noProof/>
                <w:webHidden/>
              </w:rPr>
            </w:r>
            <w:r>
              <w:rPr>
                <w:noProof/>
                <w:webHidden/>
              </w:rPr>
              <w:fldChar w:fldCharType="separate"/>
            </w:r>
            <w:r w:rsidR="00520017">
              <w:rPr>
                <w:noProof/>
                <w:webHidden/>
              </w:rPr>
              <w:t>24</w:t>
            </w:r>
            <w:r>
              <w:rPr>
                <w:noProof/>
                <w:webHidden/>
              </w:rPr>
              <w:fldChar w:fldCharType="end"/>
            </w:r>
          </w:hyperlink>
        </w:p>
        <w:p w14:paraId="0F150BE0" w14:textId="584A3A55"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98" w:history="1">
            <w:r w:rsidRPr="007C5E0A">
              <w:rPr>
                <w:rStyle w:val="Hyperlink"/>
                <w:noProof/>
              </w:rPr>
              <w:t>5.1 File Naming Conventions</w:t>
            </w:r>
            <w:r>
              <w:rPr>
                <w:noProof/>
                <w:webHidden/>
              </w:rPr>
              <w:tab/>
            </w:r>
            <w:r>
              <w:rPr>
                <w:noProof/>
                <w:webHidden/>
              </w:rPr>
              <w:fldChar w:fldCharType="begin"/>
            </w:r>
            <w:r>
              <w:rPr>
                <w:noProof/>
                <w:webHidden/>
              </w:rPr>
              <w:instrText xml:space="preserve"> PAGEREF _Toc181041698 \h </w:instrText>
            </w:r>
            <w:r>
              <w:rPr>
                <w:noProof/>
                <w:webHidden/>
              </w:rPr>
            </w:r>
            <w:r>
              <w:rPr>
                <w:noProof/>
                <w:webHidden/>
              </w:rPr>
              <w:fldChar w:fldCharType="separate"/>
            </w:r>
            <w:r w:rsidR="00520017">
              <w:rPr>
                <w:noProof/>
                <w:webHidden/>
              </w:rPr>
              <w:t>24</w:t>
            </w:r>
            <w:r>
              <w:rPr>
                <w:noProof/>
                <w:webHidden/>
              </w:rPr>
              <w:fldChar w:fldCharType="end"/>
            </w:r>
          </w:hyperlink>
        </w:p>
        <w:p w14:paraId="35755742" w14:textId="28D39E59"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699" w:history="1">
            <w:r w:rsidRPr="007C5E0A">
              <w:rPr>
                <w:rStyle w:val="Hyperlink"/>
                <w:noProof/>
              </w:rPr>
              <w:t>5.2 Downloading VNP16 Datasets</w:t>
            </w:r>
            <w:r>
              <w:rPr>
                <w:noProof/>
                <w:webHidden/>
              </w:rPr>
              <w:tab/>
            </w:r>
            <w:r>
              <w:rPr>
                <w:noProof/>
                <w:webHidden/>
              </w:rPr>
              <w:fldChar w:fldCharType="begin"/>
            </w:r>
            <w:r>
              <w:rPr>
                <w:noProof/>
                <w:webHidden/>
              </w:rPr>
              <w:instrText xml:space="preserve"> PAGEREF _Toc181041699 \h </w:instrText>
            </w:r>
            <w:r>
              <w:rPr>
                <w:noProof/>
                <w:webHidden/>
              </w:rPr>
            </w:r>
            <w:r>
              <w:rPr>
                <w:noProof/>
                <w:webHidden/>
              </w:rPr>
              <w:fldChar w:fldCharType="separate"/>
            </w:r>
            <w:r w:rsidR="00520017">
              <w:rPr>
                <w:noProof/>
                <w:webHidden/>
              </w:rPr>
              <w:t>25</w:t>
            </w:r>
            <w:r>
              <w:rPr>
                <w:noProof/>
                <w:webHidden/>
              </w:rPr>
              <w:fldChar w:fldCharType="end"/>
            </w:r>
          </w:hyperlink>
        </w:p>
        <w:p w14:paraId="71A1525E" w14:textId="00701F96" w:rsidR="00594828" w:rsidRDefault="00594828">
          <w:pPr>
            <w:pStyle w:val="TOC2"/>
            <w:tabs>
              <w:tab w:val="right" w:leader="dot" w:pos="9350"/>
            </w:tabs>
            <w:rPr>
              <w:rFonts w:eastAsiaTheme="minorEastAsia" w:cstheme="minorBidi"/>
              <w:b w:val="0"/>
              <w:bCs w:val="0"/>
              <w:noProof/>
              <w:color w:val="auto"/>
              <w:kern w:val="2"/>
              <w:sz w:val="24"/>
              <w:szCs w:val="24"/>
              <w14:ligatures w14:val="standardContextual"/>
            </w:rPr>
          </w:pPr>
          <w:hyperlink w:anchor="_Toc181041700" w:history="1">
            <w:r w:rsidRPr="007C5E0A">
              <w:rPr>
                <w:rStyle w:val="Hyperlink"/>
                <w:noProof/>
              </w:rPr>
              <w:t>5.3 Description of VNP16 Datasets</w:t>
            </w:r>
            <w:r>
              <w:rPr>
                <w:noProof/>
                <w:webHidden/>
              </w:rPr>
              <w:tab/>
            </w:r>
            <w:r>
              <w:rPr>
                <w:noProof/>
                <w:webHidden/>
              </w:rPr>
              <w:fldChar w:fldCharType="begin"/>
            </w:r>
            <w:r>
              <w:rPr>
                <w:noProof/>
                <w:webHidden/>
              </w:rPr>
              <w:instrText xml:space="preserve"> PAGEREF _Toc181041700 \h </w:instrText>
            </w:r>
            <w:r>
              <w:rPr>
                <w:noProof/>
                <w:webHidden/>
              </w:rPr>
            </w:r>
            <w:r>
              <w:rPr>
                <w:noProof/>
                <w:webHidden/>
              </w:rPr>
              <w:fldChar w:fldCharType="separate"/>
            </w:r>
            <w:r w:rsidR="00520017">
              <w:rPr>
                <w:noProof/>
                <w:webHidden/>
              </w:rPr>
              <w:t>25</w:t>
            </w:r>
            <w:r>
              <w:rPr>
                <w:noProof/>
                <w:webHidden/>
              </w:rPr>
              <w:fldChar w:fldCharType="end"/>
            </w:r>
          </w:hyperlink>
        </w:p>
        <w:p w14:paraId="54E1E6B8" w14:textId="6EC694F2"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701" w:history="1">
            <w:r w:rsidRPr="007C5E0A">
              <w:rPr>
                <w:rStyle w:val="Hyperlink"/>
                <w:noProof/>
              </w:rPr>
              <w:t>5.3.1 8-day VNP16A2 (or VNP16A2GF)</w:t>
            </w:r>
            <w:r>
              <w:rPr>
                <w:noProof/>
                <w:webHidden/>
              </w:rPr>
              <w:tab/>
            </w:r>
            <w:r>
              <w:rPr>
                <w:noProof/>
                <w:webHidden/>
              </w:rPr>
              <w:fldChar w:fldCharType="begin"/>
            </w:r>
            <w:r>
              <w:rPr>
                <w:noProof/>
                <w:webHidden/>
              </w:rPr>
              <w:instrText xml:space="preserve"> PAGEREF _Toc181041701 \h </w:instrText>
            </w:r>
            <w:r>
              <w:rPr>
                <w:noProof/>
                <w:webHidden/>
              </w:rPr>
            </w:r>
            <w:r>
              <w:rPr>
                <w:noProof/>
                <w:webHidden/>
              </w:rPr>
              <w:fldChar w:fldCharType="separate"/>
            </w:r>
            <w:r w:rsidR="00520017">
              <w:rPr>
                <w:noProof/>
                <w:webHidden/>
              </w:rPr>
              <w:t>25</w:t>
            </w:r>
            <w:r>
              <w:rPr>
                <w:noProof/>
                <w:webHidden/>
              </w:rPr>
              <w:fldChar w:fldCharType="end"/>
            </w:r>
          </w:hyperlink>
        </w:p>
        <w:p w14:paraId="795D035F" w14:textId="4CBEBE56" w:rsidR="00594828" w:rsidRDefault="00594828">
          <w:pPr>
            <w:pStyle w:val="TOC3"/>
            <w:tabs>
              <w:tab w:val="right" w:leader="dot" w:pos="9350"/>
            </w:tabs>
            <w:rPr>
              <w:rFonts w:eastAsiaTheme="minorEastAsia" w:cstheme="minorBidi"/>
              <w:noProof/>
              <w:color w:val="auto"/>
              <w:kern w:val="2"/>
              <w:sz w:val="24"/>
              <w:szCs w:val="24"/>
              <w14:ligatures w14:val="standardContextual"/>
            </w:rPr>
          </w:pPr>
          <w:hyperlink w:anchor="_Toc181041702" w:history="1">
            <w:r w:rsidRPr="007C5E0A">
              <w:rPr>
                <w:rStyle w:val="Hyperlink"/>
                <w:noProof/>
              </w:rPr>
              <w:t>5.3.2 Annual VNP16A3GF/VJ116A3GF</w:t>
            </w:r>
            <w:r>
              <w:rPr>
                <w:noProof/>
                <w:webHidden/>
              </w:rPr>
              <w:tab/>
            </w:r>
            <w:r>
              <w:rPr>
                <w:noProof/>
                <w:webHidden/>
              </w:rPr>
              <w:fldChar w:fldCharType="begin"/>
            </w:r>
            <w:r>
              <w:rPr>
                <w:noProof/>
                <w:webHidden/>
              </w:rPr>
              <w:instrText xml:space="preserve"> PAGEREF _Toc181041702 \h </w:instrText>
            </w:r>
            <w:r>
              <w:rPr>
                <w:noProof/>
                <w:webHidden/>
              </w:rPr>
            </w:r>
            <w:r>
              <w:rPr>
                <w:noProof/>
                <w:webHidden/>
              </w:rPr>
              <w:fldChar w:fldCharType="separate"/>
            </w:r>
            <w:r w:rsidR="00520017">
              <w:rPr>
                <w:noProof/>
                <w:webHidden/>
              </w:rPr>
              <w:t>27</w:t>
            </w:r>
            <w:r>
              <w:rPr>
                <w:noProof/>
                <w:webHidden/>
              </w:rPr>
              <w:fldChar w:fldCharType="end"/>
            </w:r>
          </w:hyperlink>
        </w:p>
        <w:p w14:paraId="00574E40" w14:textId="1AE87528"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703" w:history="1">
            <w:r w:rsidRPr="007C5E0A">
              <w:rPr>
                <w:rStyle w:val="Hyperlink"/>
                <w:noProof/>
              </w:rPr>
              <w:t>6. List of NTSG Co-Authored Papers Using MOD16</w:t>
            </w:r>
            <w:r>
              <w:rPr>
                <w:noProof/>
                <w:webHidden/>
              </w:rPr>
              <w:tab/>
            </w:r>
            <w:r>
              <w:rPr>
                <w:noProof/>
                <w:webHidden/>
              </w:rPr>
              <w:fldChar w:fldCharType="begin"/>
            </w:r>
            <w:r>
              <w:rPr>
                <w:noProof/>
                <w:webHidden/>
              </w:rPr>
              <w:instrText xml:space="preserve"> PAGEREF _Toc181041703 \h </w:instrText>
            </w:r>
            <w:r>
              <w:rPr>
                <w:noProof/>
                <w:webHidden/>
              </w:rPr>
            </w:r>
            <w:r>
              <w:rPr>
                <w:noProof/>
                <w:webHidden/>
              </w:rPr>
              <w:fldChar w:fldCharType="separate"/>
            </w:r>
            <w:r w:rsidR="00520017">
              <w:rPr>
                <w:noProof/>
                <w:webHidden/>
              </w:rPr>
              <w:t>29</w:t>
            </w:r>
            <w:r>
              <w:rPr>
                <w:noProof/>
                <w:webHidden/>
              </w:rPr>
              <w:fldChar w:fldCharType="end"/>
            </w:r>
          </w:hyperlink>
        </w:p>
        <w:p w14:paraId="30618E98" w14:textId="4513D844" w:rsidR="00594828" w:rsidRDefault="00594828">
          <w:pPr>
            <w:pStyle w:val="TOC1"/>
            <w:tabs>
              <w:tab w:val="right" w:leader="dot" w:pos="9350"/>
            </w:tabs>
            <w:rPr>
              <w:rFonts w:eastAsiaTheme="minorEastAsia" w:cstheme="minorBidi"/>
              <w:b w:val="0"/>
              <w:bCs w:val="0"/>
              <w:i w:val="0"/>
              <w:iCs w:val="0"/>
              <w:noProof/>
              <w:color w:val="auto"/>
              <w:kern w:val="2"/>
              <w14:ligatures w14:val="standardContextual"/>
            </w:rPr>
          </w:pPr>
          <w:hyperlink w:anchor="_Toc181041704" w:history="1">
            <w:r w:rsidRPr="007C5E0A">
              <w:rPr>
                <w:rStyle w:val="Hyperlink"/>
                <w:noProof/>
              </w:rPr>
              <w:t>7. References</w:t>
            </w:r>
            <w:r>
              <w:rPr>
                <w:noProof/>
                <w:webHidden/>
              </w:rPr>
              <w:tab/>
            </w:r>
            <w:r>
              <w:rPr>
                <w:noProof/>
                <w:webHidden/>
              </w:rPr>
              <w:fldChar w:fldCharType="begin"/>
            </w:r>
            <w:r>
              <w:rPr>
                <w:noProof/>
                <w:webHidden/>
              </w:rPr>
              <w:instrText xml:space="preserve"> PAGEREF _Toc181041704 \h </w:instrText>
            </w:r>
            <w:r>
              <w:rPr>
                <w:noProof/>
                <w:webHidden/>
              </w:rPr>
            </w:r>
            <w:r>
              <w:rPr>
                <w:noProof/>
                <w:webHidden/>
              </w:rPr>
              <w:fldChar w:fldCharType="separate"/>
            </w:r>
            <w:r w:rsidR="00520017">
              <w:rPr>
                <w:noProof/>
                <w:webHidden/>
              </w:rPr>
              <w:t>32</w:t>
            </w:r>
            <w:r>
              <w:rPr>
                <w:noProof/>
                <w:webHidden/>
              </w:rPr>
              <w:fldChar w:fldCharType="end"/>
            </w:r>
          </w:hyperlink>
        </w:p>
        <w:p w14:paraId="3307FC51" w14:textId="29A8308B" w:rsidR="006F0560" w:rsidRDefault="006F0560">
          <w:r>
            <w:rPr>
              <w:b/>
              <w:bCs/>
              <w:noProof/>
            </w:rPr>
            <w:fldChar w:fldCharType="end"/>
          </w:r>
        </w:p>
      </w:sdtContent>
    </w:sdt>
    <w:p w14:paraId="41E090DE" w14:textId="77777777" w:rsidR="006F0560" w:rsidRDefault="006F0560">
      <w:pPr>
        <w:ind w:left="0"/>
      </w:pPr>
    </w:p>
    <w:p w14:paraId="49C3A9CC" w14:textId="77777777" w:rsidR="006F0560" w:rsidRDefault="006F0560">
      <w:pPr>
        <w:ind w:left="0"/>
        <w:sectPr w:rsidR="006F0560">
          <w:pgSz w:w="12240" w:h="15840"/>
          <w:pgMar w:top="1440" w:right="1440" w:bottom="1440" w:left="1440" w:header="0" w:footer="0" w:gutter="0"/>
          <w:cols w:space="720"/>
          <w:formProt w:val="0"/>
          <w:docGrid w:linePitch="240"/>
        </w:sectPr>
      </w:pPr>
    </w:p>
    <w:p w14:paraId="3372CB46" w14:textId="1CA4B35B" w:rsidR="00365C8D" w:rsidRDefault="00365C8D" w:rsidP="00365C8D">
      <w:pPr>
        <w:pStyle w:val="Heading1"/>
      </w:pPr>
      <w:bookmarkStart w:id="7" w:name="__RefHeading___Toc2134_1283555768"/>
      <w:bookmarkStart w:id="8" w:name="_Toc180403578"/>
      <w:bookmarkStart w:id="9" w:name="_Toc181041675"/>
      <w:bookmarkEnd w:id="7"/>
      <w:r>
        <w:lastRenderedPageBreak/>
        <w:t>Preface</w:t>
      </w:r>
      <w:bookmarkEnd w:id="8"/>
      <w:bookmarkEnd w:id="9"/>
    </w:p>
    <w:p w14:paraId="4CE1CEEF" w14:textId="684FD221" w:rsidR="004D28D1" w:rsidRPr="00CA6D6E" w:rsidRDefault="004D28D1" w:rsidP="00CF0D36">
      <w:pPr>
        <w:ind w:left="0"/>
        <w:jc w:val="both"/>
      </w:pPr>
      <w:r>
        <w:t xml:space="preserve">The operational VIIRS global Collection 2 (C2) terrestrial </w:t>
      </w:r>
      <w:r w:rsidR="00817ACD">
        <w:t>evapotranspiration (ET)</w:t>
      </w:r>
      <w:r>
        <w:t xml:space="preserve"> </w:t>
      </w:r>
      <w:r w:rsidR="00462732">
        <w:t xml:space="preserve">and its potential (PET) </w:t>
      </w:r>
      <w:r>
        <w:t>data products, their forward 8-day VNP1</w:t>
      </w:r>
      <w:r w:rsidR="00817ACD">
        <w:t>6</w:t>
      </w:r>
      <w:r>
        <w:t>A2/VJ11</w:t>
      </w:r>
      <w:r w:rsidR="00817ACD">
        <w:t>6</w:t>
      </w:r>
      <w:r>
        <w:t>A2 and year-end Gap-Filled (GF) 8-day VNP1</w:t>
      </w:r>
      <w:r w:rsidR="00817ACD">
        <w:t>6</w:t>
      </w:r>
      <w:r>
        <w:t>A2GF/VJ11</w:t>
      </w:r>
      <w:r w:rsidR="00817ACD">
        <w:t>6</w:t>
      </w:r>
      <w:r>
        <w:t>A2GF and annual VNP1</w:t>
      </w:r>
      <w:r w:rsidR="00462732">
        <w:t>6</w:t>
      </w:r>
      <w:r>
        <w:t>A3GF/VJ11</w:t>
      </w:r>
      <w:r w:rsidR="00462732">
        <w:t>6</w:t>
      </w:r>
      <w:r>
        <w:t xml:space="preserve">A3GF use a newly recalibrated BPLUT (Table </w:t>
      </w:r>
      <w:r w:rsidR="00565E69">
        <w:t>4</w:t>
      </w:r>
      <w:r>
        <w:t>.2) for biophysi</w:t>
      </w:r>
      <w:r w:rsidR="00462732">
        <w:t xml:space="preserve">cal </w:t>
      </w:r>
      <w:r>
        <w:t>parameters (Endsley et al., 202</w:t>
      </w:r>
      <w:r w:rsidR="00462732">
        <w:t>4</w:t>
      </w:r>
      <w:r>
        <w:t xml:space="preserve">) and a recent version of NASA’s GMAO meteorological data: </w:t>
      </w:r>
      <w:r w:rsidRPr="005F009D">
        <w:t>Goddard Earth Observing System for Instrument Teams</w:t>
      </w:r>
      <w:r>
        <w:t xml:space="preserve"> (GEOS-IT). In contrast, the Collection 6.1 (C6.1) MODIS is still using the old Collection 6 (C6) or C5 BPLUT and the old version of GMAO data: GEOS for </w:t>
      </w:r>
      <w:r w:rsidRPr="005F009D">
        <w:t>Forward Processing</w:t>
      </w:r>
      <w:r>
        <w:t xml:space="preserve"> </w:t>
      </w:r>
      <w:r w:rsidRPr="005F009D">
        <w:t>for Instrument Teams (</w:t>
      </w:r>
      <w:r>
        <w:t xml:space="preserve">GEOS-FP-IT).  As a result, these differences cause inconsistency between the C2 VIIRS </w:t>
      </w:r>
      <w:r w:rsidR="00462732">
        <w:t>ET/PET</w:t>
      </w:r>
      <w:r>
        <w:t xml:space="preserve"> and C6.1 MODIS </w:t>
      </w:r>
      <w:r w:rsidR="00462732">
        <w:t>ET/PET</w:t>
      </w:r>
      <w:r>
        <w:t xml:space="preserve"> (8-day MOD1</w:t>
      </w:r>
      <w:r w:rsidR="00462732">
        <w:t>6</w:t>
      </w:r>
      <w:r>
        <w:t>A2/MYD1</w:t>
      </w:r>
      <w:r w:rsidR="00462732">
        <w:t>6</w:t>
      </w:r>
      <w:r>
        <w:t>A2, MOD1</w:t>
      </w:r>
      <w:r w:rsidR="00462732">
        <w:t>6</w:t>
      </w:r>
      <w:r>
        <w:t>A2GF/MYD1</w:t>
      </w:r>
      <w:r w:rsidR="00462732">
        <w:t>6</w:t>
      </w:r>
      <w:r>
        <w:t>A2GF and annual MOD1</w:t>
      </w:r>
      <w:r w:rsidR="00462732">
        <w:t>6</w:t>
      </w:r>
      <w:r>
        <w:t>A3GF/MYD1</w:t>
      </w:r>
      <w:r w:rsidR="00462732">
        <w:t>6</w:t>
      </w:r>
      <w:r>
        <w:t xml:space="preserve">A3GF).  MODIS Collection 7 (C7) </w:t>
      </w:r>
      <w:r w:rsidR="00462732">
        <w:t>ET/PET</w:t>
      </w:r>
      <w:r>
        <w:t xml:space="preserve"> will use the </w:t>
      </w:r>
      <w:r w:rsidR="00D56313">
        <w:t xml:space="preserve">newly recalibrated </w:t>
      </w:r>
      <w:r>
        <w:t>BPLUT and the same NASA’s GMAO global meteorological data, GEOS-IT, to be consistent with the C2 VIIRS ones.</w:t>
      </w:r>
    </w:p>
    <w:p w14:paraId="56611BE0" w14:textId="5AD2B50E" w:rsidR="00031310" w:rsidRDefault="00EA4C4E" w:rsidP="00CF0D36">
      <w:pPr>
        <w:pStyle w:val="Heading1"/>
        <w:jc w:val="both"/>
      </w:pPr>
      <w:bookmarkStart w:id="10" w:name="_Toc181041676"/>
      <w:r>
        <w:t>1</w:t>
      </w:r>
      <w:r w:rsidR="001160FE">
        <w:t>.</w:t>
      </w:r>
      <w:r>
        <w:t xml:space="preserve"> </w:t>
      </w:r>
      <w:bookmarkStart w:id="11" w:name="synopsis"/>
      <w:r>
        <w:t>Synopsis</w:t>
      </w:r>
      <w:bookmarkEnd w:id="10"/>
      <w:bookmarkEnd w:id="11"/>
    </w:p>
    <w:p w14:paraId="7CD4C068" w14:textId="2B297EF4" w:rsidR="00EB0543" w:rsidRDefault="009C7C46" w:rsidP="00CF0D36">
      <w:pPr>
        <w:pStyle w:val="FirstParagraph"/>
        <w:ind w:firstLine="432"/>
        <w:jc w:val="both"/>
      </w:pPr>
      <w:r>
        <w:t>Terrestrial e</w:t>
      </w:r>
      <w:r w:rsidR="00F44720">
        <w:t xml:space="preserve">vapotranspiration (ET) represents the primary loss of water from soil and vegetation to the atmosphere, and together with </w:t>
      </w:r>
      <w:r w:rsidR="00EB0543">
        <w:t>its</w:t>
      </w:r>
      <w:r w:rsidR="00F44720">
        <w:t xml:space="preserve"> latent energy (LE) </w:t>
      </w:r>
      <w:r w:rsidR="00EB0543">
        <w:t>counterpart</w:t>
      </w:r>
      <w:r w:rsidR="00F44720">
        <w:t xml:space="preserve">, </w:t>
      </w:r>
      <w:r w:rsidR="00EB0543">
        <w:t>provides the primary link</w:t>
      </w:r>
      <w:r w:rsidR="00F44720">
        <w:t xml:space="preserve"> between the global water and energy cycles. </w:t>
      </w:r>
      <w:proofErr w:type="gramStart"/>
      <w:r w:rsidR="00F44720">
        <w:t>Thus</w:t>
      </w:r>
      <w:proofErr w:type="gramEnd"/>
      <w:r w:rsidR="00F44720">
        <w:t xml:space="preserve"> ET is a sensitive environmental indicator of land su</w:t>
      </w:r>
      <w:r w:rsidR="00EB0543">
        <w:t xml:space="preserve">rface and vegetation conditions, and their response to </w:t>
      </w:r>
      <w:r w:rsidR="00F44720">
        <w:t xml:space="preserve">changing </w:t>
      </w:r>
      <w:r w:rsidR="00EB0543">
        <w:t>climate.</w:t>
      </w:r>
      <w:r w:rsidR="00F44720">
        <w:t xml:space="preserve"> </w:t>
      </w:r>
    </w:p>
    <w:p w14:paraId="23524855" w14:textId="35A32AFF" w:rsidR="00EB0543" w:rsidRDefault="00EA4C4E" w:rsidP="00CF0D36">
      <w:pPr>
        <w:pStyle w:val="FirstParagraph"/>
        <w:spacing w:before="120"/>
        <w:ind w:firstLine="432"/>
        <w:jc w:val="both"/>
      </w:pPr>
      <w:r>
        <w:t xml:space="preserve">This guide provides a description of the Collection 2 (C2 hereafter) NASA VIIRS </w:t>
      </w:r>
      <w:proofErr w:type="gramStart"/>
      <w:r>
        <w:t>level-4</w:t>
      </w:r>
      <w:proofErr w:type="gramEnd"/>
      <w:r>
        <w:t xml:space="preserve"> terrestrial ecosystem Evapotranspiration (ET), latent heat flux (LE), Potential ET (PET), and Potential LE (PLE) data products </w:t>
      </w:r>
      <w:r w:rsidR="00EB0543">
        <w:t xml:space="preserve">derived </w:t>
      </w:r>
      <w:r>
        <w:t>at 500m spatial resolution, including:</w:t>
      </w:r>
      <w:r w:rsidR="00EB0543">
        <w:t xml:space="preserve"> the</w:t>
      </w:r>
      <w:r>
        <w:t xml:space="preserve"> 8-day forward VNP16A2/VJ116A2 </w:t>
      </w:r>
      <w:r w:rsidR="00EB0543">
        <w:t xml:space="preserve">record </w:t>
      </w:r>
      <w:r>
        <w:t xml:space="preserve">and </w:t>
      </w:r>
      <w:r w:rsidR="00EB0543">
        <w:t xml:space="preserve">the </w:t>
      </w:r>
      <w:r>
        <w:t xml:space="preserve">year-end gap-filled 8-day VNP16A2GF/VJ116A2GF and annual VNP16A3GF/VJ116A3GF data products. The operational VIIRS ET data products </w:t>
      </w:r>
      <w:r w:rsidR="00F44720">
        <w:t>provide for continuity beyond</w:t>
      </w:r>
      <w:r>
        <w:t xml:space="preserve"> the</w:t>
      </w:r>
      <w:r w:rsidR="00F44720">
        <w:t xml:space="preserve"> </w:t>
      </w:r>
      <w:r>
        <w:t xml:space="preserve">NASA EOS Terra/Aqua MODIS </w:t>
      </w:r>
      <w:r w:rsidR="00F44720">
        <w:t xml:space="preserve">heritage </w:t>
      </w:r>
      <w:r>
        <w:t>ET data products: MOD16 and MYD16 (Mu et al., 2007; Mu et al., 2011). The two short names of VNP and VJ1 refer to the VIIRS sensors onboard the respective Suomi-NPP (SNPP) and JPSS-1 satellites</w:t>
      </w:r>
      <w:r w:rsidR="00204C46">
        <w:t>. The</w:t>
      </w:r>
      <w:r>
        <w:t xml:space="preserve"> GF </w:t>
      </w:r>
      <w:r w:rsidR="00204C46">
        <w:t xml:space="preserve">label </w:t>
      </w:r>
      <w:r>
        <w:t xml:space="preserve">refers to Gap-Filled </w:t>
      </w:r>
      <w:r w:rsidR="00204C46">
        <w:t>following the procedure summarized</w:t>
      </w:r>
      <w:r>
        <w:t xml:space="preserve"> </w:t>
      </w:r>
      <w:r w:rsidR="00204C46">
        <w:t>below</w:t>
      </w:r>
      <w:r>
        <w:t>. The content and format of the VNP16 and VJ116 data products are largely consistent with their MODIS heritage products, except for minor differences due to the different satellite platforms and sensors.</w:t>
      </w:r>
    </w:p>
    <w:p w14:paraId="70F37C1A" w14:textId="2043EAAF" w:rsidR="00EB0543" w:rsidRDefault="00EA4C4E" w:rsidP="00CF0D36">
      <w:pPr>
        <w:pStyle w:val="FirstParagraph"/>
        <w:spacing w:before="120"/>
        <w:ind w:firstLine="432"/>
        <w:jc w:val="both"/>
      </w:pPr>
      <w:r>
        <w:t>Cloud contamination is a major issue for NASA’s forward operational land data products because it reduces the usefulness of the remotely sensed data for land information. To resolve potential negative impacts from cloud contamination and missing data in the time series of remotely sensed inputs to VIIRS ET, at the end of each year, when a full data record of all VIIRS 8-day Fraction of Absorbed Photosynthetically active Radiation (</w:t>
      </w:r>
      <w:proofErr w:type="spellStart"/>
      <w:r>
        <w:t>fPAR</w:t>
      </w:r>
      <w:proofErr w:type="spellEnd"/>
      <w:r>
        <w:t xml:space="preserve">) and Leaf Area Index (LAI) from VNP15A2H or VJ115A2H are available, NASA reprocesses the year-end Gap Filled (GF) VIIRS ET/PET/LE/PLE </w:t>
      </w:r>
      <w:r w:rsidR="00204C46">
        <w:t xml:space="preserve">series </w:t>
      </w:r>
      <w:r>
        <w:t xml:space="preserve">following </w:t>
      </w:r>
      <w:r w:rsidR="00204C46">
        <w:t>a</w:t>
      </w:r>
      <w:r>
        <w:t xml:space="preserve"> method </w:t>
      </w:r>
      <w:r w:rsidR="00204C46">
        <w:t>originally</w:t>
      </w:r>
      <w:r>
        <w:t xml:space="preserve"> </w:t>
      </w:r>
      <w:r w:rsidR="00204C46">
        <w:t>developed</w:t>
      </w:r>
      <w:r>
        <w:t xml:space="preserve"> for the MODIS GPP and NPP</w:t>
      </w:r>
      <w:r w:rsidR="00204C46">
        <w:t xml:space="preserve"> GF</w:t>
      </w:r>
      <w:r>
        <w:t xml:space="preserve"> data products (Zhao et al., 2005; Mu et al., 2007). To distinguish from the forward data products, The GF data products are named as 8-day VNP16A2GF, VJ116A2GF and annual VNP16A3GF and VJ116A3GF.</w:t>
      </w:r>
    </w:p>
    <w:p w14:paraId="65AF19B1" w14:textId="270DAC23" w:rsidR="00EB0543" w:rsidRDefault="00EA4C4E" w:rsidP="00CF0D36">
      <w:pPr>
        <w:pStyle w:val="FirstParagraph"/>
        <w:spacing w:before="120"/>
        <w:ind w:firstLine="432"/>
        <w:jc w:val="both"/>
      </w:pPr>
      <w:r>
        <w:lastRenderedPageBreak/>
        <w:t>The VIIRS ET algorithm is based on the logic of the Penman-Monteith equation</w:t>
      </w:r>
      <w:r w:rsidR="00204C46">
        <w:t>,</w:t>
      </w:r>
      <w:r>
        <w:t xml:space="preserve"> which uses daily meteorological reanalysis data and remotely sensed daily surface albedo (from 16-day rolling VIIRS BRDF VNP43MA3 and VJ143MA3) and 8-day vegetation property dynamics in terms of </w:t>
      </w:r>
      <w:proofErr w:type="spellStart"/>
      <w:r>
        <w:t>fPAR</w:t>
      </w:r>
      <w:proofErr w:type="spellEnd"/>
      <w:r>
        <w:t>/LAI from</w:t>
      </w:r>
      <w:r w:rsidR="00204C46">
        <w:t xml:space="preserve"> the</w:t>
      </w:r>
      <w:r>
        <w:t xml:space="preserve"> VIIRS sensor as inputs. The </w:t>
      </w:r>
      <w:r w:rsidR="00204C46">
        <w:t xml:space="preserve">resulting </w:t>
      </w:r>
      <w:r>
        <w:t>data products are archived</w:t>
      </w:r>
      <w:r w:rsidR="00204C46">
        <w:t xml:space="preserve"> and distributed</w:t>
      </w:r>
      <w:r>
        <w:t xml:space="preserve"> </w:t>
      </w:r>
      <w:r w:rsidR="00204C46">
        <w:t xml:space="preserve">by </w:t>
      </w:r>
      <w:r>
        <w:t>NASA</w:t>
      </w:r>
      <w:r w:rsidR="00204C46">
        <w:t xml:space="preserve"> and the</w:t>
      </w:r>
      <w:r>
        <w:t xml:space="preserve"> </w:t>
      </w:r>
      <w:r w:rsidR="00204C46">
        <w:t xml:space="preserve">USGS LP-DAAC </w:t>
      </w:r>
      <w:r>
        <w:t xml:space="preserve">(Distributed Active Archive Center). This document is intended to provide </w:t>
      </w:r>
      <w:r w:rsidR="00204C46">
        <w:t>a detailed</w:t>
      </w:r>
      <w:r>
        <w:t xml:space="preserve"> overview </w:t>
      </w:r>
      <w:r w:rsidR="00204C46">
        <w:t xml:space="preserve">of the ET algorithm and product structure </w:t>
      </w:r>
      <w:r>
        <w:t>to allow for the successful use of the data in research and applications.</w:t>
      </w:r>
    </w:p>
    <w:p w14:paraId="33FA5043" w14:textId="17561379" w:rsidR="00031310" w:rsidRDefault="00EA4C4E" w:rsidP="00CF0D36">
      <w:pPr>
        <w:pStyle w:val="FirstParagraph"/>
        <w:spacing w:before="120"/>
        <w:ind w:firstLine="432"/>
        <w:jc w:val="both"/>
      </w:pPr>
      <w:r>
        <w:t xml:space="preserve">Since the content of the </w:t>
      </w:r>
      <w:r w:rsidR="00204C46">
        <w:t xml:space="preserve">VNP16 and VJ116 </w:t>
      </w:r>
      <w:r>
        <w:t>data products are mostly the same</w:t>
      </w:r>
      <w:r w:rsidR="00204C46">
        <w:t>,</w:t>
      </w:r>
      <w:r>
        <w:t xml:space="preserve"> except</w:t>
      </w:r>
      <w:r w:rsidR="00204C46">
        <w:t xml:space="preserve"> for</w:t>
      </w:r>
      <w:r>
        <w:t xml:space="preserve"> minor differences mainly caused by </w:t>
      </w:r>
      <w:r w:rsidR="00204C46">
        <w:t xml:space="preserve">the </w:t>
      </w:r>
      <w:r>
        <w:t xml:space="preserve">different satellite platforms, we use VNP16 </w:t>
      </w:r>
      <w:r w:rsidR="00204C46">
        <w:t>herea</w:t>
      </w:r>
      <w:r>
        <w:t>f</w:t>
      </w:r>
      <w:r w:rsidR="00204C46">
        <w:t>t</w:t>
      </w:r>
      <w:r>
        <w:t>er to</w:t>
      </w:r>
      <w:r w:rsidR="00204C46">
        <w:t xml:space="preserve"> </w:t>
      </w:r>
      <w:r w:rsidR="007E591A">
        <w:t>refer to</w:t>
      </w:r>
      <w:r>
        <w:t xml:space="preserve"> both VNP16 and VJ116 across this document; VJ116 </w:t>
      </w:r>
      <w:r w:rsidR="007E591A">
        <w:t>is</w:t>
      </w:r>
      <w:r>
        <w:t xml:space="preserve"> </w:t>
      </w:r>
      <w:r w:rsidR="007E591A">
        <w:t>referenced</w:t>
      </w:r>
      <w:r>
        <w:t xml:space="preserve"> only for specific cases. This User Guide (UG) is the revised and improved version of the previous UG, for </w:t>
      </w:r>
      <w:r w:rsidR="007E591A">
        <w:t xml:space="preserve">the </w:t>
      </w:r>
      <w:r>
        <w:t>Collection 6.1 MODIS ET and PET</w:t>
      </w:r>
      <w:r w:rsidR="007E591A">
        <w:t xml:space="preserve"> product version</w:t>
      </w:r>
      <w:r>
        <w:t>. It has been specifically updated to reflect the VIIRS ET and PET data products.</w:t>
      </w:r>
    </w:p>
    <w:p w14:paraId="24E5E366" w14:textId="645A42BB" w:rsidR="00031310" w:rsidRDefault="00EA4C4E" w:rsidP="00CF0D36">
      <w:pPr>
        <w:pStyle w:val="Heading1"/>
        <w:jc w:val="both"/>
      </w:pPr>
      <w:bookmarkStart w:id="12" w:name="_Toc181041677"/>
      <w:r>
        <w:t>2</w:t>
      </w:r>
      <w:r w:rsidR="001160FE">
        <w:t xml:space="preserve">. </w:t>
      </w:r>
      <w:bookmarkStart w:id="13" w:name="background-and-algorithm-overview"/>
      <w:r>
        <w:t>Background and Algorithm Overview</w:t>
      </w:r>
      <w:bookmarkEnd w:id="12"/>
      <w:bookmarkEnd w:id="13"/>
    </w:p>
    <w:p w14:paraId="2251775B" w14:textId="7269F89F" w:rsidR="00031310" w:rsidRDefault="00EA4C4E" w:rsidP="00CF0D36">
      <w:pPr>
        <w:pStyle w:val="FirstParagraph"/>
        <w:jc w:val="both"/>
      </w:pPr>
      <w:r>
        <w:t xml:space="preserve">Calculation of ET is typically based on the conservation of either energy or mass, or both. Computing ET is a combination of two </w:t>
      </w:r>
      <w:r w:rsidR="007E591A">
        <w:t>complex</w:t>
      </w:r>
      <w:r>
        <w:t xml:space="preserve"> </w:t>
      </w:r>
      <w:r w:rsidR="007E591A">
        <w:t>components occurring within a given grid cell and time step</w:t>
      </w:r>
      <w:r>
        <w:t xml:space="preserve">: (1) estimating the stomatal conductance to derive transpiration from </w:t>
      </w:r>
      <w:r w:rsidR="007E591A">
        <w:t>vegetation cover</w:t>
      </w:r>
      <w:r>
        <w:t xml:space="preserve">; and (2) estimating evaporation </w:t>
      </w:r>
      <w:r w:rsidR="007E591A">
        <w:t>from the wet canopy (when present) and</w:t>
      </w:r>
      <w:r>
        <w:t xml:space="preserve"> ground surface. The VNP16 ET algorithm runs </w:t>
      </w:r>
      <w:r w:rsidR="007E591A">
        <w:t xml:space="preserve">on a </w:t>
      </w:r>
      <w:r>
        <w:t xml:space="preserve">daily </w:t>
      </w:r>
      <w:r w:rsidR="007E591A">
        <w:t>(24-hr) time step</w:t>
      </w:r>
      <w:r>
        <w:t xml:space="preserve">, </w:t>
      </w:r>
      <w:r w:rsidR="007E591A">
        <w:t xml:space="preserve">represented as the </w:t>
      </w:r>
      <w:r>
        <w:t xml:space="preserve">sum of ET from day- and nighttime. Vertically, ET is the sum of water vapor fluxes from soil evaporation, wet canopy evaporation and plant transpiration </w:t>
      </w:r>
      <w:r w:rsidR="007E591A">
        <w:t xml:space="preserve">from the </w:t>
      </w:r>
      <w:r>
        <w:t>dry canopy surface. Remote sensing has long been recognized as the most feasible means to provide spatially distributed regional ET information on land surfaces. Remotely sensed data, especially those from polar-orbiting satellites, provide temporally and spatially continuous information over vegetated surfaces useful for regional measurement and monitoring of surface biophysical variables affecting ET, including albedo, biome type</w:t>
      </w:r>
      <w:r w:rsidR="000A72B2">
        <w:t>,</w:t>
      </w:r>
      <w:r w:rsidR="00296B20">
        <w:t xml:space="preserve"> </w:t>
      </w:r>
      <w:r>
        <w:t>and leaf area index (Los et al., 2000).</w:t>
      </w:r>
    </w:p>
    <w:p w14:paraId="2A5C937C" w14:textId="3A0AE0AF" w:rsidR="00031310" w:rsidRDefault="00EA4C4E" w:rsidP="00CF0D36">
      <w:pPr>
        <w:pStyle w:val="Heading2"/>
        <w:jc w:val="both"/>
      </w:pPr>
      <w:bookmarkStart w:id="14" w:name="_Toc181041678"/>
      <w:r>
        <w:t xml:space="preserve">2.1 </w:t>
      </w:r>
      <w:bookmarkStart w:id="15" w:name="surface-energy-balance"/>
      <w:r>
        <w:t>Surface Energy Balance</w:t>
      </w:r>
      <w:bookmarkEnd w:id="14"/>
      <w:bookmarkEnd w:id="15"/>
    </w:p>
    <w:p w14:paraId="3C92C314" w14:textId="77777777" w:rsidR="00031310" w:rsidRDefault="00EA4C4E" w:rsidP="00CF0D36">
      <w:pPr>
        <w:pStyle w:val="FirstParagraph"/>
        <w:spacing w:after="120"/>
        <w:jc w:val="both"/>
      </w:pPr>
      <w:r>
        <w:t xml:space="preserve">Net radiation intercepted by the earth’s surface, </w:t>
      </w:r>
      <m:oMath>
        <m:r>
          <w:rPr>
            <w:rFonts w:ascii="Cambria Math" w:hAnsi="Cambria Math"/>
          </w:rPr>
          <m:t>R</m:t>
        </m:r>
      </m:oMath>
      <w:r>
        <w:t>, can be partitioned into fluxes of sensible heat (</w:t>
      </w:r>
      <m:oMath>
        <m:r>
          <w:rPr>
            <w:rFonts w:ascii="Cambria Math" w:hAnsi="Cambria Math"/>
          </w:rPr>
          <m:t>H</m:t>
        </m:r>
      </m:oMath>
      <w:r>
        <w:t>), latent heat (</w:t>
      </w:r>
      <m:oMath>
        <m:r>
          <w:rPr>
            <w:rFonts w:ascii="Cambria Math" w:hAnsi="Cambria Math"/>
          </w:rPr>
          <m:t>λE</m:t>
        </m:r>
      </m:oMath>
      <w:r>
        <w:t>), ground heat (</w:t>
      </w:r>
      <m:oMath>
        <m:r>
          <w:rPr>
            <w:rFonts w:ascii="Cambria Math" w:hAnsi="Cambria Math"/>
          </w:rPr>
          <m:t>G</m:t>
        </m:r>
      </m:oMath>
      <w:r>
        <w:t>), and the change in heat storage (</w:t>
      </w:r>
      <m:oMath>
        <m:r>
          <w:rPr>
            <w:rFonts w:ascii="Cambria Math" w:hAnsi="Cambria Math"/>
          </w:rPr>
          <m:t>ΔS</m:t>
        </m:r>
      </m:oMath>
      <w:r>
        <w:t>):</w:t>
      </w:r>
    </w:p>
    <w:p w14:paraId="6552B798" w14:textId="791210CE" w:rsidR="00031310" w:rsidRDefault="00EA4C4E" w:rsidP="00CF0D36">
      <w:pPr>
        <w:pStyle w:val="BodyText"/>
        <w:jc w:val="both"/>
      </w:pPr>
      <m:oMath>
        <m:r>
          <w:rPr>
            <w:rFonts w:ascii="Cambria Math" w:hAnsi="Cambria Math"/>
          </w:rPr>
          <m:t>R=H+λE+G+ΔS</m:t>
        </m:r>
      </m:oMath>
      <w:r>
        <w:tab/>
      </w:r>
      <w:r w:rsidR="000A72B2">
        <w:tab/>
      </w:r>
      <w:r w:rsidR="000A72B2">
        <w:tab/>
      </w:r>
      <w:r w:rsidR="000A72B2">
        <w:tab/>
      </w:r>
      <w:r w:rsidR="000A72B2">
        <w:tab/>
      </w:r>
      <w:r w:rsidR="000A72B2">
        <w:tab/>
      </w:r>
      <w:r w:rsidR="000A72B2">
        <w:tab/>
      </w:r>
      <w:r w:rsidR="000A72B2">
        <w:tab/>
      </w:r>
      <w:r>
        <w:t>(</w:t>
      </w:r>
      <w:r w:rsidR="004A2262">
        <w:t>2.</w:t>
      </w:r>
      <w:r>
        <w:t>1)</w:t>
      </w:r>
    </w:p>
    <w:p w14:paraId="315A408D" w14:textId="77777777" w:rsidR="00031310" w:rsidRDefault="00EA4C4E" w:rsidP="00CF0D36">
      <w:pPr>
        <w:pStyle w:val="FirstParagraph"/>
        <w:spacing w:before="120" w:after="120"/>
        <w:jc w:val="both"/>
      </w:pPr>
      <w:r>
        <w:t>Latent heat, or heat that has been used to vaporize water, is the quantity of interest in the VNP16 algorithm and it can generally be described in terms:</w:t>
      </w:r>
    </w:p>
    <w:p w14:paraId="6E6B1E23" w14:textId="78EC7FB8" w:rsidR="00031310" w:rsidRDefault="00EA4C4E" w:rsidP="00CF0D36">
      <w:pPr>
        <w:pStyle w:val="BodyText"/>
        <w:jc w:val="both"/>
      </w:pPr>
      <m:oMath>
        <m:r>
          <w:rPr>
            <w:rFonts w:ascii="Cambria Math" w:hAnsi="Cambria Math"/>
          </w:rPr>
          <m:t>λE=</m:t>
        </m:r>
        <m:f>
          <m:fPr>
            <m:ctrlPr>
              <w:rPr>
                <w:rFonts w:ascii="Cambria Math" w:hAnsi="Cambria Math"/>
              </w:rPr>
            </m:ctrlPr>
          </m:fPr>
          <m:num>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p</m:t>
                </m:r>
              </m:sub>
            </m:sSub>
          </m:num>
          <m:den>
            <m:r>
              <w:rPr>
                <w:rFonts w:ascii="Cambria Math" w:hAnsi="Cambria Math"/>
              </w:rPr>
              <m:t>γ</m:t>
            </m:r>
          </m:den>
        </m:f>
        <m:f>
          <m:fPr>
            <m:ctrlPr>
              <w:rPr>
                <w:rFonts w:ascii="Cambria Math" w:hAnsi="Cambria Math"/>
              </w:rPr>
            </m:ctrlPr>
          </m:fPr>
          <m:num>
            <m:sSub>
              <m:sSubPr>
                <m:ctrlPr>
                  <w:rPr>
                    <w:rFonts w:ascii="Cambria Math" w:hAnsi="Cambria Math"/>
                  </w:rPr>
                </m:ctrlPr>
              </m:sSubPr>
              <m:e>
                <m:r>
                  <w:rPr>
                    <w:rFonts w:ascii="Cambria Math" w:hAnsi="Cambria Math"/>
                  </w:rPr>
                  <m:t>e</m:t>
                </m:r>
              </m:e>
              <m:sub>
                <m:r>
                  <m:rPr>
                    <m:lit/>
                    <m:nor/>
                  </m:rPr>
                  <w:rPr>
                    <w:rFonts w:ascii="Cambria Math" w:hAnsi="Cambria Math"/>
                  </w:rPr>
                  <m:t>sat</m:t>
                </m:r>
              </m:sub>
            </m:sSub>
            <m:r>
              <w:rPr>
                <w:rFonts w:ascii="Cambria Math" w:hAnsi="Cambria Math"/>
              </w:rPr>
              <m:t>-e</m:t>
            </m:r>
          </m:num>
          <m:den>
            <m:sSub>
              <m:sSubPr>
                <m:ctrlPr>
                  <w:rPr>
                    <w:rFonts w:ascii="Cambria Math" w:hAnsi="Cambria Math"/>
                  </w:rPr>
                </m:ctrlPr>
              </m:sSubPr>
              <m:e>
                <m:r>
                  <w:rPr>
                    <w:rFonts w:ascii="Cambria Math" w:hAnsi="Cambria Math"/>
                  </w:rPr>
                  <m:t>r</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S</m:t>
                </m:r>
              </m:sub>
            </m:sSub>
          </m:den>
        </m:f>
      </m:oMath>
      <w:r>
        <w:tab/>
      </w:r>
      <w:r w:rsidR="000A72B2">
        <w:tab/>
      </w:r>
      <w:r w:rsidR="000A72B2">
        <w:tab/>
      </w:r>
      <w:r w:rsidR="000A72B2">
        <w:tab/>
      </w:r>
      <w:r w:rsidR="000A72B2">
        <w:tab/>
      </w:r>
      <w:r w:rsidR="000A72B2">
        <w:tab/>
      </w:r>
      <w:r w:rsidR="000A72B2">
        <w:tab/>
      </w:r>
      <w:r w:rsidR="000A72B2">
        <w:tab/>
      </w:r>
      <w:r w:rsidR="000A72B2">
        <w:tab/>
      </w:r>
      <w:r>
        <w:t>(</w:t>
      </w:r>
      <w:r w:rsidR="004A2262">
        <w:t>2.</w:t>
      </w:r>
      <w:r>
        <w:t>2)</w:t>
      </w:r>
    </w:p>
    <w:p w14:paraId="1E701868" w14:textId="77777777" w:rsidR="00031310" w:rsidRDefault="00EA4C4E" w:rsidP="00CF0D36">
      <w:pPr>
        <w:pStyle w:val="FirstParagraph"/>
        <w:spacing w:before="120" w:after="120"/>
        <w:jc w:val="both"/>
      </w:pPr>
      <w:r>
        <w:t>The individual terms are described in the sections below, but the general idea is that the latent heat flux:</w:t>
      </w:r>
    </w:p>
    <w:p w14:paraId="4D6512A4" w14:textId="77777777" w:rsidR="00031310" w:rsidRDefault="00EA4C4E" w:rsidP="00CF0D36">
      <w:pPr>
        <w:numPr>
          <w:ilvl w:val="0"/>
          <w:numId w:val="1"/>
        </w:numPr>
        <w:jc w:val="both"/>
      </w:pPr>
      <w:r>
        <w:t xml:space="preserve">Increases with the air’s capacity to store water vapor, </w:t>
      </w:r>
      <m:oMath>
        <m:sSub>
          <m:sSubPr>
            <m:ctrlPr>
              <w:rPr>
                <w:rFonts w:ascii="Cambria Math" w:hAnsi="Cambria Math"/>
              </w:rPr>
            </m:ctrlPr>
          </m:sSubPr>
          <m:e>
            <m:r>
              <w:rPr>
                <w:rFonts w:ascii="Cambria Math" w:hAnsi="Cambria Math"/>
              </w:rPr>
              <m:t>e</m:t>
            </m:r>
          </m:e>
          <m:sub>
            <m:r>
              <m:rPr>
                <m:lit/>
                <m:nor/>
              </m:rPr>
              <w:rPr>
                <w:rFonts w:ascii="Cambria Math" w:hAnsi="Cambria Math"/>
              </w:rPr>
              <m:t>sat</m:t>
            </m:r>
          </m:sub>
        </m:sSub>
        <m:r>
          <w:rPr>
            <w:rFonts w:ascii="Cambria Math" w:hAnsi="Cambria Math"/>
          </w:rPr>
          <m:t>-e</m:t>
        </m:r>
      </m:oMath>
      <w:r w:rsidR="000A72B2">
        <w:t xml:space="preserve"> ;</w:t>
      </w:r>
    </w:p>
    <w:p w14:paraId="3988F4A5" w14:textId="77777777" w:rsidR="00031310" w:rsidRDefault="00EA4C4E" w:rsidP="00CF0D36">
      <w:pPr>
        <w:numPr>
          <w:ilvl w:val="0"/>
          <w:numId w:val="1"/>
        </w:numPr>
        <w:jc w:val="both"/>
      </w:pPr>
      <w:r>
        <w:lastRenderedPageBreak/>
        <w:t xml:space="preserve">Increases with the heat storage capacity of air, </w:t>
      </w:r>
      <m:oMath>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p</m:t>
            </m:r>
          </m:sub>
        </m:sSub>
      </m:oMath>
      <w:r w:rsidR="000A72B2">
        <w:t xml:space="preserve"> ;</w:t>
      </w:r>
    </w:p>
    <w:p w14:paraId="561E3A54" w14:textId="77777777" w:rsidR="00031310" w:rsidRDefault="00EA4C4E" w:rsidP="00CF0D36">
      <w:pPr>
        <w:numPr>
          <w:ilvl w:val="0"/>
          <w:numId w:val="1"/>
        </w:numPr>
        <w:jc w:val="both"/>
      </w:pPr>
      <w:r>
        <w:t xml:space="preserve">Decreases with increasing aerodynamic and surface resistances, </w:t>
      </w:r>
      <m:oMath>
        <m:sSub>
          <m:sSubPr>
            <m:ctrlPr>
              <w:rPr>
                <w:rFonts w:ascii="Cambria Math" w:hAnsi="Cambria Math"/>
              </w:rPr>
            </m:ctrlPr>
          </m:sSubPr>
          <m:e>
            <m:r>
              <w:rPr>
                <w:rFonts w:ascii="Cambria Math" w:hAnsi="Cambria Math"/>
              </w:rPr>
              <m:t>r</m:t>
            </m:r>
          </m:e>
          <m:sub>
            <m:r>
              <w:rPr>
                <w:rFonts w:ascii="Cambria Math" w:hAnsi="Cambria Math"/>
              </w:rPr>
              <m:t>A</m:t>
            </m:r>
          </m:sub>
        </m:sSub>
      </m:oMath>
      <w:r>
        <w:t xml:space="preserve"> + </w:t>
      </w:r>
      <m:oMath>
        <m:sSub>
          <m:sSubPr>
            <m:ctrlPr>
              <w:rPr>
                <w:rFonts w:ascii="Cambria Math" w:hAnsi="Cambria Math"/>
              </w:rPr>
            </m:ctrlPr>
          </m:sSubPr>
          <m:e>
            <m:r>
              <w:rPr>
                <w:rFonts w:ascii="Cambria Math" w:hAnsi="Cambria Math"/>
              </w:rPr>
              <m:t>r</m:t>
            </m:r>
          </m:e>
          <m:sub>
            <m:r>
              <w:rPr>
                <w:rFonts w:ascii="Cambria Math" w:hAnsi="Cambria Math"/>
              </w:rPr>
              <m:t>S</m:t>
            </m:r>
          </m:sub>
        </m:sSub>
      </m:oMath>
      <w:r w:rsidR="000A72B2">
        <w:t xml:space="preserve"> .</w:t>
      </w:r>
    </w:p>
    <w:p w14:paraId="60B080EE" w14:textId="048BEA20" w:rsidR="00031310" w:rsidRDefault="00EA4C4E" w:rsidP="00CF0D36">
      <w:pPr>
        <w:pStyle w:val="FirstParagraph"/>
        <w:spacing w:before="120"/>
        <w:jc w:val="both"/>
      </w:pPr>
      <w:r>
        <w:t xml:space="preserve">The flux of latent heat is also termed </w:t>
      </w:r>
      <w:r>
        <w:rPr>
          <w:b/>
        </w:rPr>
        <w:t>evapotranspiration (ET)</w:t>
      </w:r>
      <w:r>
        <w:t xml:space="preserve"> because it includes both </w:t>
      </w:r>
      <w:r>
        <w:rPr>
          <w:i/>
        </w:rPr>
        <w:t>evaporated</w:t>
      </w:r>
      <w:r>
        <w:t xml:space="preserve"> water and </w:t>
      </w:r>
      <w:r>
        <w:rPr>
          <w:i/>
        </w:rPr>
        <w:t>transpired</w:t>
      </w:r>
      <w:r>
        <w:t xml:space="preserve"> water vapor fluxes. </w:t>
      </w:r>
      <w:r w:rsidR="000A72B2">
        <w:t xml:space="preserve">Latent heat and ET are related through the </w:t>
      </w:r>
      <w:r w:rsidR="000A72B2" w:rsidRPr="006D3072">
        <w:t>latent heat of vaporization (</w:t>
      </w:r>
      <m:oMath>
        <m:r>
          <w:rPr>
            <w:rFonts w:ascii="Cambria Math" w:hAnsi="Cambria Math"/>
          </w:rPr>
          <m:t>λ</m:t>
        </m:r>
      </m:oMath>
      <w:r w:rsidR="000A72B2" w:rsidRPr="006D3072">
        <w:t>)</w:t>
      </w:r>
      <w:r w:rsidR="000A72B2">
        <w:t xml:space="preserve">, which is the energy required to transform water from liquid to gas phase, </w:t>
      </w:r>
      <w:r w:rsidR="006D3072">
        <w:t>providing a critical link between</w:t>
      </w:r>
      <w:r w:rsidR="000A72B2">
        <w:t xml:space="preserve"> the energy and water cycles. </w:t>
      </w:r>
      <w:r>
        <w:t>Most discussions of modeling ET begin with a version of the equation above, which gets complicated quickly when we try to calculate ET over large areas using weather data. As such, our description of the VNP16 ET model is instead procedural, to aid implementation.</w:t>
      </w:r>
    </w:p>
    <w:p w14:paraId="6E4F112F" w14:textId="7C4D1ABB" w:rsidR="00031310" w:rsidRDefault="00EA4C4E" w:rsidP="00CF0D36">
      <w:pPr>
        <w:pStyle w:val="Heading2"/>
        <w:jc w:val="both"/>
      </w:pPr>
      <w:bookmarkStart w:id="16" w:name="_Toc181041679"/>
      <w:r>
        <w:t xml:space="preserve">2.2 </w:t>
      </w:r>
      <w:bookmarkStart w:id="17" w:name="the-penman-monteith-pm-approach"/>
      <w:r>
        <w:t>The Penman-Monteith (PM) Approach</w:t>
      </w:r>
      <w:bookmarkEnd w:id="16"/>
      <w:bookmarkEnd w:id="17"/>
    </w:p>
    <w:p w14:paraId="6A533966" w14:textId="1CEBA2B2" w:rsidR="00031310" w:rsidRDefault="00EA4C4E" w:rsidP="00CF0D36">
      <w:pPr>
        <w:pStyle w:val="FirstParagraph"/>
        <w:spacing w:after="120"/>
        <w:jc w:val="both"/>
      </w:pPr>
      <w:r>
        <w:t>Developing a robust algorithm to estimate global evapotranspiration is a significant challenge. Traditional energy balance models of ET require explicit characterization of numerous physical parameters, many of which are difficult to determine globally. For these models, thermal remote sensing data (e.g., land surface temperature, LST) are the most important inputs. However, using the 8-day composite MODIS LST (the average LST of all cloud-free data in the compositing window) (Wan et al., 2002) and daily meteorological data recorded at the flux tower, Cleugh et al. (2007) demonstrate</w:t>
      </w:r>
      <w:r w:rsidR="003C6DE2">
        <w:t>d</w:t>
      </w:r>
      <w:r>
        <w:t xml:space="preserve"> that the results from thermal models </w:t>
      </w:r>
      <w:r w:rsidR="003C6DE2">
        <w:t xml:space="preserve">can be </w:t>
      </w:r>
      <w:r>
        <w:t xml:space="preserve">unreliable. Using a combination of remote sensing and global meteorological data, we adapted the Cleugh et al. (2007) algorithm, which is based on the Penman–Monteith (PM) method and calculates both canopy conductance and ET. Monteith (1965) eliminated surface temperature from Equations </w:t>
      </w:r>
      <w:r w:rsidR="004A2262">
        <w:t>2.</w:t>
      </w:r>
      <w:r>
        <w:t xml:space="preserve">1 and </w:t>
      </w:r>
      <w:r w:rsidR="004A2262">
        <w:t>2.</w:t>
      </w:r>
      <w:r>
        <w:t>2 to give</w:t>
      </w:r>
      <w:r w:rsidR="003C6DE2">
        <w:t xml:space="preserve"> the following form</w:t>
      </w:r>
      <w:r>
        <w:t>:</w:t>
      </w:r>
    </w:p>
    <w:p w14:paraId="15CDEBAD" w14:textId="303BC8BF" w:rsidR="00031310" w:rsidRDefault="00EA4C4E" w:rsidP="00CF0D36">
      <w:pPr>
        <w:pStyle w:val="Equation"/>
        <w:jc w:val="both"/>
      </w:pPr>
      <m:oMath>
        <m:r>
          <w:rPr>
            <w:rFonts w:ascii="Cambria Math" w:hAnsi="Cambria Math"/>
          </w:rPr>
          <m:t>λE=</m:t>
        </m:r>
        <m:f>
          <m:fPr>
            <m:ctrlPr>
              <w:rPr>
                <w:rFonts w:ascii="Cambria Math" w:hAnsi="Cambria Math"/>
              </w:rPr>
            </m:ctrlPr>
          </m:fPr>
          <m:num>
            <m:r>
              <w:rPr>
                <w:rFonts w:ascii="Cambria Math" w:hAnsi="Cambria Math"/>
              </w:rPr>
              <m:t>sA+ρ</m:t>
            </m:r>
            <m:sSub>
              <m:sSubPr>
                <m:ctrlPr>
                  <w:rPr>
                    <w:rFonts w:ascii="Cambria Math" w:hAnsi="Cambria Math"/>
                  </w:rPr>
                </m:ctrlPr>
              </m:sSubPr>
              <m:e>
                <m:r>
                  <w:rPr>
                    <w:rFonts w:ascii="Cambria Math" w:hAnsi="Cambria Math"/>
                  </w:rPr>
                  <m:t>C</m:t>
                </m:r>
              </m:e>
              <m:sub>
                <m:r>
                  <w:rPr>
                    <w:rFonts w:ascii="Cambria Math" w:hAnsi="Cambria Math"/>
                  </w:rPr>
                  <m:t>p</m:t>
                </m:r>
              </m:sub>
            </m:sSub>
            <m:d>
              <m:dPr>
                <m:ctrlPr>
                  <w:rPr>
                    <w:rFonts w:ascii="Cambria Math" w:hAnsi="Cambria Math"/>
                  </w:rPr>
                </m:ctrlPr>
              </m:dPr>
              <m:e>
                <m:sSub>
                  <m:sSubPr>
                    <m:ctrlPr>
                      <w:rPr>
                        <w:rFonts w:ascii="Cambria Math" w:hAnsi="Cambria Math"/>
                      </w:rPr>
                    </m:ctrlPr>
                  </m:sSubPr>
                  <m:e>
                    <m:r>
                      <w:rPr>
                        <w:rFonts w:ascii="Cambria Math" w:hAnsi="Cambria Math"/>
                      </w:rPr>
                      <m:t>e</m:t>
                    </m:r>
                  </m:e>
                  <m:sub>
                    <m:r>
                      <m:rPr>
                        <m:lit/>
                        <m:nor/>
                      </m:rPr>
                      <w:rPr>
                        <w:rFonts w:ascii="Cambria Math" w:hAnsi="Cambria Math"/>
                      </w:rPr>
                      <m:t>sat</m:t>
                    </m:r>
                  </m:sub>
                </m:sSub>
                <m:r>
                  <w:rPr>
                    <w:rFonts w:ascii="Cambria Math" w:hAnsi="Cambria Math"/>
                  </w:rPr>
                  <m:t>-e</m:t>
                </m:r>
              </m:e>
            </m:d>
            <m:sSubSup>
              <m:sSubSupPr>
                <m:ctrlPr>
                  <w:rPr>
                    <w:rFonts w:ascii="Cambria Math" w:hAnsi="Cambria Math"/>
                  </w:rPr>
                </m:ctrlPr>
              </m:sSubSupPr>
              <m:e>
                <m:r>
                  <w:rPr>
                    <w:rFonts w:ascii="Cambria Math" w:hAnsi="Cambria Math"/>
                  </w:rPr>
                  <m:t>r</m:t>
                </m:r>
              </m:e>
              <m:sub>
                <m:r>
                  <w:rPr>
                    <w:rFonts w:ascii="Cambria Math" w:hAnsi="Cambria Math"/>
                  </w:rPr>
                  <m:t>A</m:t>
                </m:r>
              </m:sub>
              <m:sup>
                <m:r>
                  <w:rPr>
                    <w:rFonts w:ascii="Cambria Math" w:hAnsi="Cambria Math"/>
                  </w:rPr>
                  <m:t>-1</m:t>
                </m:r>
              </m:sup>
            </m:sSubSup>
          </m:num>
          <m:den>
            <m:r>
              <w:rPr>
                <w:rFonts w:ascii="Cambria Math" w:hAnsi="Cambria Math"/>
              </w:rPr>
              <m:t>s+γ</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S</m:t>
                    </m:r>
                  </m:sub>
                </m:sSub>
                <m:sSubSup>
                  <m:sSubSupPr>
                    <m:ctrlPr>
                      <w:rPr>
                        <w:rFonts w:ascii="Cambria Math" w:hAnsi="Cambria Math"/>
                      </w:rPr>
                    </m:ctrlPr>
                  </m:sSubSupPr>
                  <m:e>
                    <m:r>
                      <w:rPr>
                        <w:rFonts w:ascii="Cambria Math" w:hAnsi="Cambria Math"/>
                      </w:rPr>
                      <m:t>r</m:t>
                    </m:r>
                  </m:e>
                  <m:sub>
                    <m:r>
                      <w:rPr>
                        <w:rFonts w:ascii="Cambria Math" w:hAnsi="Cambria Math"/>
                      </w:rPr>
                      <m:t>A</m:t>
                    </m:r>
                  </m:sub>
                  <m:sup>
                    <m:r>
                      <w:rPr>
                        <w:rFonts w:ascii="Cambria Math" w:hAnsi="Cambria Math"/>
                      </w:rPr>
                      <m:t>-1</m:t>
                    </m:r>
                  </m:sup>
                </m:sSubSup>
              </m:e>
            </m:d>
          </m:den>
        </m:f>
      </m:oMath>
      <w:r>
        <w:tab/>
      </w:r>
      <w:r w:rsidR="003C6DE2">
        <w:tab/>
      </w:r>
      <w:r w:rsidR="003C6DE2">
        <w:tab/>
      </w:r>
      <w:r w:rsidR="003C6DE2">
        <w:tab/>
      </w:r>
      <w:r w:rsidR="003C6DE2">
        <w:tab/>
      </w:r>
      <w:r w:rsidR="003C6DE2">
        <w:tab/>
      </w:r>
      <w:r w:rsidR="003C6DE2">
        <w:tab/>
      </w:r>
      <w:r w:rsidR="003C6DE2">
        <w:tab/>
      </w:r>
      <w:r>
        <w:t>(</w:t>
      </w:r>
      <w:r w:rsidR="004A2262">
        <w:t>2.</w:t>
      </w:r>
      <w:r>
        <w:t>3)</w:t>
      </w:r>
    </w:p>
    <w:p w14:paraId="17D71BB9" w14:textId="77777777" w:rsidR="00031310" w:rsidRDefault="00EA4C4E" w:rsidP="00CF0D36">
      <w:pPr>
        <w:pStyle w:val="FirstParagraph"/>
        <w:spacing w:before="120"/>
        <w:jc w:val="both"/>
      </w:pPr>
      <w:r>
        <w:t xml:space="preserve">where </w:t>
      </w:r>
      <m:oMath>
        <m:r>
          <w:rPr>
            <w:rFonts w:ascii="Cambria Math" w:hAnsi="Cambria Math"/>
          </w:rPr>
          <m:t>s=d</m:t>
        </m:r>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e</m:t>
                    </m:r>
                  </m:e>
                  <m:sub>
                    <m:r>
                      <m:rPr>
                        <m:lit/>
                        <m:nor/>
                      </m:rPr>
                      <w:rPr>
                        <w:rFonts w:ascii="Cambria Math" w:hAnsi="Cambria Math"/>
                      </w:rPr>
                      <m:t>sat</m:t>
                    </m:r>
                  </m:sub>
                </m:sSub>
              </m:e>
            </m:d>
          </m:num>
          <m:den>
            <m:r>
              <w:rPr>
                <w:rFonts w:ascii="Cambria Math" w:hAnsi="Cambria Math"/>
              </w:rPr>
              <m:t>d</m:t>
            </m:r>
          </m:den>
        </m:f>
        <m:r>
          <w:rPr>
            <w:rFonts w:ascii="Cambria Math" w:hAnsi="Cambria Math"/>
          </w:rPr>
          <m:t>t</m:t>
        </m:r>
      </m:oMath>
      <w:r>
        <w:t xml:space="preserve">, the slope of the curve relating saturated water vapor pressure (SVP or </w:t>
      </w:r>
      <m:oMath>
        <m:sSub>
          <m:sSubPr>
            <m:ctrlPr>
              <w:rPr>
                <w:rFonts w:ascii="Cambria Math" w:hAnsi="Cambria Math"/>
              </w:rPr>
            </m:ctrlPr>
          </m:sSubPr>
          <m:e>
            <m:r>
              <w:rPr>
                <w:rFonts w:ascii="Cambria Math" w:hAnsi="Cambria Math"/>
              </w:rPr>
              <m:t>e</m:t>
            </m:r>
          </m:e>
          <m:sub>
            <m:r>
              <m:rPr>
                <m:lit/>
                <m:nor/>
              </m:rPr>
              <w:rPr>
                <w:rFonts w:ascii="Cambria Math" w:hAnsi="Cambria Math"/>
              </w:rPr>
              <m:t>sat</m:t>
            </m:r>
          </m:sub>
        </m:sSub>
      </m:oMath>
      <w:r>
        <w:t xml:space="preserve">) to temperature; </w:t>
      </w:r>
      <m:oMath>
        <m:r>
          <w:rPr>
            <w:rFonts w:ascii="Cambria Math" w:hAnsi="Cambria Math"/>
          </w:rPr>
          <m:t>A</m:t>
        </m:r>
      </m:oMath>
      <w:r>
        <w:t xml:space="preserve"> is available energy partitioned between sensible heat and latent heat fluxes on land surface. </w:t>
      </w:r>
      <m:oMath>
        <m:r>
          <m:rPr>
            <m:lit/>
            <m:nor/>
          </m:rPr>
          <w:rPr>
            <w:rFonts w:ascii="Cambria Math" w:hAnsi="Cambria Math"/>
          </w:rPr>
          <m:t>VPD</m:t>
        </m:r>
        <m:r>
          <w:rPr>
            <w:rFonts w:ascii="Cambria Math" w:hAnsi="Cambria Math"/>
          </w:rPr>
          <m:t>=</m:t>
        </m:r>
        <m:sSub>
          <m:sSubPr>
            <m:ctrlPr>
              <w:rPr>
                <w:rFonts w:ascii="Cambria Math" w:hAnsi="Cambria Math"/>
              </w:rPr>
            </m:ctrlPr>
          </m:sSubPr>
          <m:e>
            <m:r>
              <w:rPr>
                <w:rFonts w:ascii="Cambria Math" w:hAnsi="Cambria Math"/>
              </w:rPr>
              <m:t>e</m:t>
            </m:r>
          </m:e>
          <m:sub>
            <m:r>
              <m:rPr>
                <m:lit/>
                <m:nor/>
              </m:rPr>
              <w:rPr>
                <w:rFonts w:ascii="Cambria Math" w:hAnsi="Cambria Math"/>
              </w:rPr>
              <m:t>sat</m:t>
            </m:r>
          </m:sub>
        </m:sSub>
        <m:r>
          <w:rPr>
            <w:rFonts w:ascii="Cambria Math" w:hAnsi="Cambria Math"/>
          </w:rPr>
          <m:t>-e</m:t>
        </m:r>
      </m:oMath>
      <w:r>
        <w:t xml:space="preserve"> is the air vapor pressure deficit, the difference between SVP and the actual vapor pressure (AVP or </w:t>
      </w:r>
      <m:oMath>
        <m:r>
          <w:rPr>
            <w:rFonts w:ascii="Cambria Math" w:hAnsi="Cambria Math"/>
          </w:rPr>
          <m:t>e</m:t>
        </m:r>
      </m:oMath>
      <w:r>
        <w:t xml:space="preserve">). All inputs have been previously defined except for surface resistance, </w:t>
      </w:r>
      <m:oMath>
        <m:sSub>
          <m:sSubPr>
            <m:ctrlPr>
              <w:rPr>
                <w:rFonts w:ascii="Cambria Math" w:hAnsi="Cambria Math"/>
              </w:rPr>
            </m:ctrlPr>
          </m:sSubPr>
          <m:e>
            <m:r>
              <w:rPr>
                <w:rFonts w:ascii="Cambria Math" w:hAnsi="Cambria Math"/>
              </w:rPr>
              <m:t>r</m:t>
            </m:r>
          </m:e>
          <m:sub>
            <m:r>
              <w:rPr>
                <w:rFonts w:ascii="Cambria Math" w:hAnsi="Cambria Math"/>
              </w:rPr>
              <m:t>S</m:t>
            </m:r>
          </m:sub>
        </m:sSub>
      </m:oMath>
      <w:r>
        <w:t>, which is an effective resistance accounting for evaporation from the soil surface and transpiration from the plant canopy.</w:t>
      </w:r>
    </w:p>
    <w:p w14:paraId="324F53D0" w14:textId="77777777" w:rsidR="00031310" w:rsidRDefault="00EA4C4E" w:rsidP="00CF0D36">
      <w:pPr>
        <w:pStyle w:val="BodyText"/>
        <w:spacing w:before="120"/>
        <w:ind w:firstLine="432"/>
        <w:jc w:val="both"/>
      </w:pPr>
      <w:r>
        <w:t>Despite its theoretical appeal, the routine implementation of the PM equation is often hindered by requiring meteorological forcing data (</w:t>
      </w:r>
      <m:oMath>
        <m:r>
          <w:rPr>
            <w:rFonts w:ascii="Cambria Math" w:hAnsi="Cambria Math"/>
          </w:rPr>
          <m:t>A</m:t>
        </m:r>
      </m:oMath>
      <w:r>
        <w:t>, air temperature, and VPD) and the aerodynamic and surface resistances (</w:t>
      </w:r>
      <m:oMath>
        <m:sSub>
          <m:sSubPr>
            <m:ctrlPr>
              <w:rPr>
                <w:rFonts w:ascii="Cambria Math" w:hAnsi="Cambria Math"/>
              </w:rPr>
            </m:ctrlPr>
          </m:sSubPr>
          <m:e>
            <m:r>
              <w:rPr>
                <w:rFonts w:ascii="Cambria Math" w:hAnsi="Cambria Math"/>
              </w:rPr>
              <m:t>r</m:t>
            </m:r>
          </m:e>
          <m:sub>
            <m:r>
              <w:rPr>
                <w:rFonts w:ascii="Cambria Math" w:hAnsi="Cambria Math"/>
              </w:rPr>
              <m:t>A</m:t>
            </m:r>
          </m:sub>
        </m:sSub>
      </m:oMath>
      <w:r>
        <w:t xml:space="preserve"> and </w:t>
      </w:r>
      <m:oMath>
        <m:sSub>
          <m:sSubPr>
            <m:ctrlPr>
              <w:rPr>
                <w:rFonts w:ascii="Cambria Math" w:hAnsi="Cambria Math"/>
              </w:rPr>
            </m:ctrlPr>
          </m:sSubPr>
          <m:e>
            <m:r>
              <w:rPr>
                <w:rFonts w:ascii="Cambria Math" w:hAnsi="Cambria Math"/>
              </w:rPr>
              <m:t>r</m:t>
            </m:r>
          </m:e>
          <m:sub>
            <m:r>
              <w:rPr>
                <w:rFonts w:ascii="Cambria Math" w:hAnsi="Cambria Math"/>
              </w:rPr>
              <m:t>S</m:t>
            </m:r>
          </m:sub>
        </m:sSub>
      </m:oMath>
      <w:r>
        <w:t xml:space="preserve">). Radiation and soil heat flux measurements are needed to determine </w:t>
      </w:r>
      <m:oMath>
        <m:r>
          <w:rPr>
            <w:rFonts w:ascii="Cambria Math" w:hAnsi="Cambria Math"/>
          </w:rPr>
          <m:t>A</m:t>
        </m:r>
      </m:oMath>
      <w:r>
        <w:t xml:space="preserve">; air temperature and humidity to calculate VPD; and wind speed and surface roughness parameters to determine </w:t>
      </w:r>
      <m:oMath>
        <m:sSub>
          <m:sSubPr>
            <m:ctrlPr>
              <w:rPr>
                <w:rFonts w:ascii="Cambria Math" w:hAnsi="Cambria Math"/>
              </w:rPr>
            </m:ctrlPr>
          </m:sSubPr>
          <m:e>
            <m:r>
              <w:rPr>
                <w:rFonts w:ascii="Cambria Math" w:hAnsi="Cambria Math"/>
              </w:rPr>
              <m:t>r</m:t>
            </m:r>
          </m:e>
          <m:sub>
            <m:r>
              <w:rPr>
                <w:rFonts w:ascii="Cambria Math" w:hAnsi="Cambria Math"/>
              </w:rPr>
              <m:t>A</m:t>
            </m:r>
          </m:sub>
        </m:sSub>
      </m:oMath>
      <w:r>
        <w:t>. Multi-temporal implementation of the PM model at regional scales therefore requires routine surface meteorological observations of air temperature, humidity, solar radiation, and wind speed. Models for estimating maximum stomatal conductance, including the effect of limited soil water availability and stomatal physiology, requires either a fully coupled biophysical model such as that by Tuzet et al. (2003) or resorting to the empirical discount functions of Jarvis (1976), which must be calibrated. Determi</w:t>
      </w:r>
      <w:proofErr w:type="spellStart"/>
      <w:r>
        <w:t>ning</w:t>
      </w:r>
      <w:proofErr w:type="spellEnd"/>
      <w:r>
        <w:t xml:space="preserve"> a surface resistance for partial </w:t>
      </w:r>
      <w:r>
        <w:lastRenderedPageBreak/>
        <w:t>canopy cover is even more challenging with various dual source models proposed (e.g., Shuttleworth and Wallace, 1985) to account for the presence of plants and soil.</w:t>
      </w:r>
    </w:p>
    <w:p w14:paraId="284F109B" w14:textId="3D91C813" w:rsidR="00031310" w:rsidRDefault="00EA4C4E" w:rsidP="00CF0D36">
      <w:pPr>
        <w:pStyle w:val="Heading1"/>
        <w:jc w:val="both"/>
      </w:pPr>
      <w:bookmarkStart w:id="18" w:name="_Toc181041680"/>
      <w:r>
        <w:t>3</w:t>
      </w:r>
      <w:r w:rsidR="001160FE">
        <w:t xml:space="preserve">. </w:t>
      </w:r>
      <w:bookmarkStart w:id="19" w:name="evapotranspiration-model-logic"/>
      <w:r>
        <w:t>Evapotranspiration Model Logic</w:t>
      </w:r>
      <w:bookmarkEnd w:id="18"/>
      <w:bookmarkEnd w:id="19"/>
    </w:p>
    <w:p w14:paraId="7C3CCD11" w14:textId="7205981C" w:rsidR="00031310" w:rsidRDefault="00EA4C4E" w:rsidP="00CF0D36">
      <w:pPr>
        <w:pStyle w:val="Heading2"/>
        <w:jc w:val="both"/>
      </w:pPr>
      <w:bookmarkStart w:id="20" w:name="_Toc181041681"/>
      <w:r>
        <w:t xml:space="preserve">3.1 </w:t>
      </w:r>
      <w:bookmarkStart w:id="21" w:name="the-vnp16-algorithm"/>
      <w:r>
        <w:t>The VNP16 Algorithm</w:t>
      </w:r>
      <w:bookmarkEnd w:id="20"/>
      <w:bookmarkEnd w:id="21"/>
    </w:p>
    <w:p w14:paraId="4393FF4F" w14:textId="77777777" w:rsidR="00031310" w:rsidRDefault="00EA4C4E" w:rsidP="00CF0D36">
      <w:pPr>
        <w:pStyle w:val="BlockText"/>
        <w:jc w:val="both"/>
      </w:pPr>
      <w:r>
        <w:t xml:space="preserve">The evaporation of water is like a commercial transaction in which a wet surface sells water </w:t>
      </w:r>
      <w:proofErr w:type="spellStart"/>
      <w:r>
        <w:t>vapour</w:t>
      </w:r>
      <w:proofErr w:type="spellEnd"/>
      <w:r>
        <w:t xml:space="preserve"> to its environment in exchange for heat…The environment can supply heat by solar radiation, by turbulent transfer from the atmosphere, or by conduction from the soil. - Monteith (1965)</w:t>
      </w:r>
    </w:p>
    <w:p w14:paraId="1FB6568A" w14:textId="0A20C3F9" w:rsidR="00031310" w:rsidRDefault="00EA4C4E" w:rsidP="00CF0D36">
      <w:pPr>
        <w:pStyle w:val="FirstParagraph"/>
        <w:jc w:val="both"/>
      </w:pPr>
      <w:r>
        <w:t xml:space="preserve">VNP16 is based on the Penman-Monteith (PM) approach to calculating evapotranspiration (ET). </w:t>
      </w:r>
      <w:r>
        <w:rPr>
          <w:b/>
        </w:rPr>
        <w:t>The central idea of the PM approach is that it combines energy conservation and the saturation vapor pressure of the air to determine: 1) How much energy is available to vaporize water; and 2) When to stop vaporizing water (when the air is saturated).</w:t>
      </w:r>
      <w:r>
        <w:t xml:space="preserve"> Figure </w:t>
      </w:r>
      <w:r w:rsidR="00534706">
        <w:t xml:space="preserve">1 </w:t>
      </w:r>
      <w:r>
        <w:t>shows the logic behind the VNP16 algorithm for calculating daily ET.</w:t>
      </w:r>
    </w:p>
    <w:p w14:paraId="3122A1A2" w14:textId="77777777" w:rsidR="00031310" w:rsidRDefault="00031310" w:rsidP="00CF0D36">
      <w:pPr>
        <w:pStyle w:val="FirstParagraph"/>
        <w:jc w:val="both"/>
      </w:pPr>
    </w:p>
    <w:p w14:paraId="189F91DB" w14:textId="77777777" w:rsidR="00031310" w:rsidRDefault="00EA4C4E" w:rsidP="00CF0D36">
      <w:pPr>
        <w:ind w:left="0"/>
        <w:jc w:val="both"/>
      </w:pPr>
      <w:bookmarkStart w:id="22" w:name="fig%2525253AFlowchart"/>
      <w:r>
        <w:rPr>
          <w:noProof/>
        </w:rPr>
        <w:drawing>
          <wp:inline distT="0" distB="0" distL="0" distR="0" wp14:anchorId="1764C17E" wp14:editId="0F5FB014">
            <wp:extent cx="5943600" cy="3721735"/>
            <wp:effectExtent l="0" t="0" r="0" b="0"/>
            <wp:docPr id="2" name="Picture" descr="Figure 1: Flowchart of the improved VNP16 ET algorithm (from the MODIS ET algorithm in Mu et al., 2011). LAI: leaf area index; fPAR: Fraction of Photosynthetically Active Rad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Figure 1: Flowchart of the improved VNP16 ET algorithm (from the MODIS ET algorithm in Mu et al., 2011). LAI: leaf area index; fPAR: Fraction of Photosynthetically Active Radiation."/>
                    <pic:cNvPicPr>
                      <a:picLocks noChangeAspect="1" noChangeArrowheads="1"/>
                    </pic:cNvPicPr>
                  </pic:nvPicPr>
                  <pic:blipFill>
                    <a:blip r:embed="rId14"/>
                    <a:stretch>
                      <a:fillRect/>
                    </a:stretch>
                  </pic:blipFill>
                  <pic:spPr bwMode="auto">
                    <a:xfrm>
                      <a:off x="0" y="0"/>
                      <a:ext cx="5943600" cy="3721735"/>
                    </a:xfrm>
                    <a:prstGeom prst="rect">
                      <a:avLst/>
                    </a:prstGeom>
                  </pic:spPr>
                </pic:pic>
              </a:graphicData>
            </a:graphic>
          </wp:inline>
        </w:drawing>
      </w:r>
      <w:bookmarkEnd w:id="22"/>
    </w:p>
    <w:p w14:paraId="3CAB3568" w14:textId="3DE13323" w:rsidR="00031310" w:rsidRDefault="00EA4C4E" w:rsidP="00CF0D36">
      <w:pPr>
        <w:pStyle w:val="ImageCaption"/>
        <w:jc w:val="both"/>
      </w:pPr>
      <w:r>
        <w:t xml:space="preserve">Figure 1: Flowchart of the VNP16 ET algorithm (from the MODIS ET algorithm in Mu et al., 2011). LAI: leaf area index; </w:t>
      </w:r>
      <w:proofErr w:type="spellStart"/>
      <w:r>
        <w:t>fPAR</w:t>
      </w:r>
      <w:proofErr w:type="spellEnd"/>
      <w:r>
        <w:t>: Fraction of Photosynthetically Active Radiation.</w:t>
      </w:r>
      <w:bookmarkStart w:id="23" w:name="fig%2525253AFlowchart1"/>
      <w:bookmarkEnd w:id="23"/>
    </w:p>
    <w:p w14:paraId="0F2CAF20" w14:textId="02C8DE46" w:rsidR="00031310" w:rsidRDefault="00EA4C4E" w:rsidP="00CF0D36">
      <w:pPr>
        <w:pStyle w:val="BodyText"/>
        <w:ind w:firstLine="432"/>
        <w:jc w:val="both"/>
      </w:pPr>
      <w:r>
        <w:br/>
        <w:t>ET is the sum of three components (three sources of latent heat): transpiration, evaporation from wet canopy surfaces, and evaporation from bare soil surfaces. The VNP16 algorithm calculates separate daytime (i.e., sun in the sky) and nighttime quantities for each of these components</w:t>
      </w:r>
      <w:r w:rsidR="003C6DE2">
        <w:t xml:space="preserve"> for </w:t>
      </w:r>
      <w:r w:rsidR="003C6DE2">
        <w:lastRenderedPageBreak/>
        <w:t>each daily (24-hr) time step</w:t>
      </w:r>
      <w:r>
        <w:t xml:space="preserve">. We can understand the VNP16 algorithm as a series of steps to calculate each component wherein the input drivers are partitioned into daytime and nighttime values, starting with the calculation of the net radiation received by a surface. Throughout, unless otherwise specified: temperature is given in degrees Kelvin; pressure is given in Pascals (Pa); resistance is given in seconds per meter (s </w:t>
      </w:r>
      <m:oMath>
        <m:sSup>
          <m:sSupPr>
            <m:ctrlPr>
              <w:rPr>
                <w:rFonts w:ascii="Cambria Math" w:hAnsi="Cambria Math"/>
              </w:rPr>
            </m:ctrlPr>
          </m:sSupPr>
          <m:e>
            <m:r>
              <m:rPr>
                <m:lit/>
                <m:nor/>
              </m:rPr>
              <w:rPr>
                <w:rFonts w:ascii="Cambria Math" w:hAnsi="Cambria Math"/>
              </w:rPr>
              <m:t>m</m:t>
            </m:r>
          </m:e>
          <m:sup>
            <m:r>
              <w:rPr>
                <w:rFonts w:ascii="Cambria Math" w:hAnsi="Cambria Math"/>
              </w:rPr>
              <m:t>-1</m:t>
            </m:r>
          </m:sup>
        </m:sSup>
      </m:oMath>
      <w:r>
        <w:t>). “iff” means “if and only if.”</w:t>
      </w:r>
    </w:p>
    <w:p w14:paraId="49A6971E" w14:textId="77777777" w:rsidR="006D08D3" w:rsidRDefault="006D08D3" w:rsidP="00CF0D36">
      <w:pPr>
        <w:pStyle w:val="BodyText"/>
        <w:ind w:firstLine="432"/>
        <w:jc w:val="both"/>
      </w:pPr>
    </w:p>
    <w:p w14:paraId="690327D5" w14:textId="1105FB16" w:rsidR="006D08D3" w:rsidRDefault="00EA4C4E" w:rsidP="001160FE">
      <w:pPr>
        <w:pStyle w:val="FirstParagraph"/>
        <w:spacing w:after="120"/>
        <w:jc w:val="both"/>
      </w:pPr>
      <w:r>
        <w:t xml:space="preserve">3.1.1 </w:t>
      </w:r>
      <w:bookmarkStart w:id="24" w:name="net-radiation-available"/>
      <w:r>
        <w:t>Net Radiation Available</w:t>
      </w:r>
      <w:bookmarkEnd w:id="24"/>
    </w:p>
    <w:p w14:paraId="5C4D9D60" w14:textId="4889C97A" w:rsidR="006D08D3" w:rsidRDefault="006D08D3" w:rsidP="001160FE">
      <w:pPr>
        <w:pStyle w:val="FirstParagraph"/>
        <w:spacing w:after="120"/>
        <w:jc w:val="both"/>
      </w:pPr>
      <w:r>
        <w:t xml:space="preserve">The net radiation available to vaporize water, </w:t>
      </w:r>
      <m:oMath>
        <m:r>
          <w:rPr>
            <w:rFonts w:ascii="Cambria Math" w:hAnsi="Cambria Math"/>
          </w:rPr>
          <m:t>A</m:t>
        </m:r>
      </m:oMath>
      <w:r>
        <w:t xml:space="preserve">, is the sum of down-welling, short-wave radiation intercepted from the sun, </w:t>
      </w:r>
      <m:oMath>
        <m:sSub>
          <m:sSubPr>
            <m:ctrlPr>
              <w:rPr>
                <w:rFonts w:ascii="Cambria Math" w:hAnsi="Cambria Math"/>
              </w:rPr>
            </m:ctrlPr>
          </m:sSubPr>
          <m:e>
            <m:r>
              <w:rPr>
                <w:rFonts w:ascii="Cambria Math" w:hAnsi="Cambria Math"/>
              </w:rPr>
              <m:t>R</m:t>
            </m:r>
          </m:e>
          <m:sub>
            <m:r>
              <w:rPr>
                <w:rFonts w:ascii="Cambria Math" w:hAnsi="Cambria Math"/>
              </w:rPr>
              <m:t>S↓</m:t>
            </m:r>
          </m:sub>
        </m:sSub>
      </m:oMath>
      <w:r>
        <w:t xml:space="preserve">, and net long-wave radiation (LWGNT), </w:t>
      </w:r>
      <m:oMath>
        <m:sSub>
          <m:sSubPr>
            <m:ctrlPr>
              <w:rPr>
                <w:rFonts w:ascii="Cambria Math" w:hAnsi="Cambria Math"/>
              </w:rPr>
            </m:ctrlPr>
          </m:sSubPr>
          <m:e>
            <m:r>
              <w:rPr>
                <w:rFonts w:ascii="Cambria Math" w:hAnsi="Cambria Math"/>
              </w:rPr>
              <m:t>R</m:t>
            </m:r>
          </m:e>
          <m:sub>
            <m:r>
              <w:rPr>
                <w:rFonts w:ascii="Cambria Math" w:hAnsi="Cambria Math"/>
              </w:rPr>
              <m:t>L</m:t>
            </m:r>
          </m:sub>
        </m:sSub>
      </m:oMath>
      <w:r>
        <w:t>, from the earth and atmosphere:</w:t>
      </w:r>
    </w:p>
    <w:p w14:paraId="289B408C" w14:textId="2EBBD1F1" w:rsidR="006D08D3" w:rsidRDefault="006D08D3" w:rsidP="001160FE">
      <w:pPr>
        <w:pStyle w:val="Equation"/>
        <w:jc w:val="both"/>
      </w:pPr>
      <m:oMath>
        <m:r>
          <w:rPr>
            <w:rFonts w:ascii="Cambria Math" w:hAnsi="Cambria Math"/>
          </w:rPr>
          <m:t>A=</m:t>
        </m:r>
        <m:d>
          <m:dPr>
            <m:ctrlPr>
              <w:rPr>
                <w:rFonts w:ascii="Cambria Math" w:hAnsi="Cambria Math"/>
              </w:rPr>
            </m:ctrlPr>
          </m:dPr>
          <m:e>
            <m:r>
              <w:rPr>
                <w:rFonts w:ascii="Cambria Math" w:hAnsi="Cambria Math"/>
              </w:rPr>
              <m:t>1-α</m:t>
            </m:r>
          </m:e>
        </m:d>
        <m:sSub>
          <m:sSubPr>
            <m:ctrlPr>
              <w:rPr>
                <w:rFonts w:ascii="Cambria Math" w:hAnsi="Cambria Math"/>
              </w:rPr>
            </m:ctrlPr>
          </m:sSubPr>
          <m:e>
            <m:r>
              <w:rPr>
                <w:rFonts w:ascii="Cambria Math" w:hAnsi="Cambria Math"/>
              </w:rPr>
              <m:t>R</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sub>
        </m:sSub>
      </m:oMath>
      <w:r>
        <w:tab/>
      </w:r>
      <w:r>
        <w:tab/>
      </w:r>
      <w:r>
        <w:tab/>
      </w:r>
      <w:r>
        <w:tab/>
      </w:r>
      <w:r>
        <w:tab/>
      </w:r>
      <w:r>
        <w:tab/>
      </w:r>
      <w:r>
        <w:tab/>
      </w:r>
      <w:r>
        <w:tab/>
        <w:t>(</w:t>
      </w:r>
      <w:r w:rsidR="004A2262">
        <w:t>3.1</w:t>
      </w:r>
      <w:r>
        <w:t>)</w:t>
      </w:r>
    </w:p>
    <w:p w14:paraId="6707F813" w14:textId="77777777" w:rsidR="006D08D3" w:rsidRDefault="006D08D3" w:rsidP="001160FE">
      <w:pPr>
        <w:pStyle w:val="FirstParagraph"/>
        <w:spacing w:before="120"/>
        <w:jc w:val="both"/>
      </w:pPr>
      <w:r>
        <w:t xml:space="preserve">where </w:t>
      </w:r>
      <m:oMath>
        <m:r>
          <w:rPr>
            <w:rFonts w:ascii="Cambria Math" w:hAnsi="Cambria Math"/>
          </w:rPr>
          <m:t>α</m:t>
        </m:r>
      </m:oMath>
      <w:r>
        <w:t xml:space="preserve"> is the short-wave albedo (under “black-sky” conditions), i.e., the fraction of down-welling, short-wave radiation that is not absorbed by the earth’s surface. MOD16 (precursor to VNP16) used to calculate the latter term using the emissivity of the earth’s surface; as of MODIS Collection 6.1, we instead directly use surface net downward longwave flux (LWGNT) from the global meteorological data provided by GMAO/NASA. Because the sun is the only source of short-wave radiation in this system, at nighttime, </w:t>
      </w:r>
      <m:oMath>
        <m:sSub>
          <m:sSubPr>
            <m:ctrlPr>
              <w:rPr>
                <w:rFonts w:ascii="Cambria Math" w:hAnsi="Cambria Math"/>
              </w:rPr>
            </m:ctrlPr>
          </m:sSubPr>
          <m:e>
            <m:r>
              <w:rPr>
                <w:rFonts w:ascii="Cambria Math" w:hAnsi="Cambria Math"/>
              </w:rPr>
              <m:t>R</m:t>
            </m:r>
          </m:e>
          <m:sub>
            <m:r>
              <w:rPr>
                <w:rFonts w:ascii="Cambria Math" w:hAnsi="Cambria Math"/>
              </w:rPr>
              <m:t>S↓</m:t>
            </m:r>
          </m:sub>
        </m:sSub>
        <m:r>
          <w:rPr>
            <w:rFonts w:ascii="Cambria Math" w:hAnsi="Cambria Math"/>
          </w:rPr>
          <m:t>=0</m:t>
        </m:r>
      </m:oMath>
      <w:r>
        <w:t xml:space="preserve"> and the only source of energy is </w:t>
      </w:r>
      <m:oMath>
        <m:sSub>
          <m:sSubPr>
            <m:ctrlPr>
              <w:rPr>
                <w:rFonts w:ascii="Cambria Math" w:hAnsi="Cambria Math"/>
              </w:rPr>
            </m:ctrlPr>
          </m:sSubPr>
          <m:e>
            <m:r>
              <w:rPr>
                <w:rFonts w:ascii="Cambria Math" w:hAnsi="Cambria Math"/>
              </w:rPr>
              <m:t>R</m:t>
            </m:r>
          </m:e>
          <m:sub>
            <m:r>
              <w:rPr>
                <w:rFonts w:ascii="Cambria Math" w:hAnsi="Cambria Math"/>
              </w:rPr>
              <m:t>L</m:t>
            </m:r>
          </m:sub>
        </m:sSub>
      </m:oMath>
      <w:r>
        <w:t>.</w:t>
      </w:r>
    </w:p>
    <w:p w14:paraId="37C4DA1A" w14:textId="4A6B06DF" w:rsidR="006D08D3" w:rsidRDefault="006D08D3" w:rsidP="001160FE">
      <w:pPr>
        <w:pStyle w:val="BodyText"/>
        <w:spacing w:before="120" w:after="120"/>
        <w:ind w:firstLine="432"/>
        <w:jc w:val="both"/>
      </w:pPr>
      <w:r>
        <w:t xml:space="preserve">The three components of ET imply there are two surface sources of water vapor: the vegetation canopy (leaf surfaces) and bare soil. Therefore, the next step is to calculate the net radiation received by each of these surfaces. The net radiation received by the soil is a balance between incoming radiation, </w:t>
      </w:r>
      <m:oMath>
        <m:r>
          <w:rPr>
            <w:rFonts w:ascii="Cambria Math" w:hAnsi="Cambria Math"/>
          </w:rPr>
          <m:t>A</m:t>
        </m:r>
      </m:oMath>
      <w:r>
        <w:t xml:space="preserve">, and the ground heat flux, </w:t>
      </w:r>
      <m:oMath>
        <m:r>
          <w:rPr>
            <w:rFonts w:ascii="Cambria Math" w:hAnsi="Cambria Math"/>
          </w:rPr>
          <m:t>G</m:t>
        </m:r>
      </m:oMath>
      <w:r>
        <w:t xml:space="preserve">, modulated by the fraction of vegetation cover, </w:t>
      </w:r>
      <m:oMath>
        <m:sSub>
          <m:sSubPr>
            <m:ctrlPr>
              <w:rPr>
                <w:rFonts w:ascii="Cambria Math" w:hAnsi="Cambria Math"/>
              </w:rPr>
            </m:ctrlPr>
          </m:sSubPr>
          <m:e>
            <m:r>
              <w:rPr>
                <w:rFonts w:ascii="Cambria Math" w:hAnsi="Cambria Math"/>
              </w:rPr>
              <m:t>F</m:t>
            </m:r>
          </m:e>
          <m:sub>
            <m:r>
              <w:rPr>
                <w:rFonts w:ascii="Cambria Math" w:hAnsi="Cambria Math"/>
              </w:rPr>
              <m:t>C</m:t>
            </m:r>
          </m:sub>
        </m:sSub>
      </m:oMath>
      <w:r>
        <w:t>; i.e., if the ground is completed covered by vegetation (</w:t>
      </w: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=1.0</m:t>
        </m:r>
      </m:oMath>
      <w:r>
        <w:t xml:space="preserve">), then there is no ground heat flux. In VNP16, we use the fraction of photosynthetically active radiation (fPAR), a measure of the fraction of ground area covered by photosynthetic vegetation, as our measure of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(Los et al., 2000). Therefore, net radiation received by the soil surface is calculated as:</w:t>
      </w:r>
    </w:p>
    <w:p w14:paraId="15EFF230" w14:textId="3D648E51" w:rsidR="006D08D3" w:rsidRDefault="00000000" w:rsidP="001160FE">
      <w:pPr>
        <w:pStyle w:val="BodyText"/>
        <w:jc w:val="both"/>
      </w:pPr>
      <m:oMath>
        <m:sSub>
          <m:sSubPr>
            <m:ctrlPr>
              <w:rPr>
                <w:rFonts w:ascii="Cambria Math" w:hAnsi="Cambria Math"/>
              </w:rPr>
            </m:ctrlPr>
          </m:sSubPr>
          <m:e>
            <m:r>
              <w:rPr>
                <w:rFonts w:ascii="Cambria Math" w:hAnsi="Cambria Math"/>
              </w:rPr>
              <m:t>A</m:t>
            </m:r>
          </m:e>
          <m:sub>
            <m:r>
              <m:rPr>
                <m:lit/>
                <m:nor/>
              </m:rPr>
              <w:rPr>
                <w:rFonts w:ascii="Cambria Math" w:hAnsi="Cambria Math"/>
              </w:rPr>
              <m:t>soil</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C</m:t>
                </m:r>
              </m:sub>
            </m:sSub>
          </m:e>
        </m:d>
        <m:r>
          <w:rPr>
            <w:rFonts w:ascii="Cambria Math" w:hAnsi="Cambria Math"/>
          </w:rPr>
          <m:t>×</m:t>
        </m:r>
        <m:d>
          <m:dPr>
            <m:ctrlPr>
              <w:rPr>
                <w:rFonts w:ascii="Cambria Math" w:hAnsi="Cambria Math"/>
              </w:rPr>
            </m:ctrlPr>
          </m:dPr>
          <m:e>
            <m:r>
              <w:rPr>
                <w:rFonts w:ascii="Cambria Math" w:hAnsi="Cambria Math"/>
              </w:rPr>
              <m:t>A-G</m:t>
            </m:r>
          </m:e>
        </m:d>
      </m:oMath>
      <w:r w:rsidR="006D08D3">
        <w:tab/>
      </w:r>
      <w:r w:rsidR="006D08D3">
        <w:tab/>
      </w:r>
      <w:r w:rsidR="006D08D3">
        <w:tab/>
      </w:r>
      <w:r w:rsidR="006D08D3">
        <w:tab/>
      </w:r>
      <w:r w:rsidR="006D08D3">
        <w:tab/>
      </w:r>
      <w:r w:rsidR="006D08D3">
        <w:tab/>
      </w:r>
      <w:r w:rsidR="006D08D3">
        <w:tab/>
        <w:t>(</w:t>
      </w:r>
      <w:r w:rsidR="004A2262">
        <w:t>3.2</w:t>
      </w:r>
      <w:r w:rsidR="006D08D3">
        <w:t>)</w:t>
      </w:r>
    </w:p>
    <w:p w14:paraId="31EC3020" w14:textId="519180E7" w:rsidR="006D08D3" w:rsidRPr="006D08D3" w:rsidRDefault="006D08D3" w:rsidP="001160FE">
      <w:pPr>
        <w:pStyle w:val="FirstParagraph"/>
        <w:spacing w:before="120" w:after="120"/>
        <w:jc w:val="both"/>
      </w:pPr>
      <w:r>
        <w:t xml:space="preserve">Ground heat flux is calculated based on the surface energy balance and a pre-determined (calibrated) minimum temperature constraint (in Celsius), </w:t>
      </w:r>
      <m:oMath>
        <m:sSub>
          <m:sSubPr>
            <m:ctrlPr>
              <w:rPr>
                <w:rFonts w:ascii="Cambria Math" w:hAnsi="Cambria Math"/>
              </w:rPr>
            </m:ctrlPr>
          </m:sSubPr>
          <m:e>
            <m:r>
              <w:rPr>
                <w:rFonts w:ascii="Cambria Math" w:hAnsi="Cambria Math"/>
              </w:rPr>
              <m:t>T</m:t>
            </m:r>
          </m:e>
          <m:sub>
            <m:r>
              <m:rPr>
                <m:lit/>
                <m:nor/>
              </m:rPr>
              <w:rPr>
                <w:rFonts w:ascii="Cambria Math" w:hAnsi="Cambria Math"/>
              </w:rPr>
              <m:t>min,close</m:t>
            </m:r>
          </m:sub>
        </m:sSub>
      </m:oMath>
      <w:r>
        <w:t xml:space="preserve">, which represents the temperature below which plant stomata are assumed to be completely closed. If the mean annual temperature is between </w:t>
      </w:r>
      <m:oMath>
        <m:sSub>
          <m:sSubPr>
            <m:ctrlPr>
              <w:rPr>
                <w:rFonts w:ascii="Cambria Math" w:hAnsi="Cambria Math"/>
              </w:rPr>
            </m:ctrlPr>
          </m:sSubPr>
          <m:e>
            <m:r>
              <w:rPr>
                <w:rFonts w:ascii="Cambria Math" w:hAnsi="Cambria Math"/>
              </w:rPr>
              <m:t>T</m:t>
            </m:r>
          </m:e>
          <m:sub>
            <m:r>
              <m:rPr>
                <m:lit/>
                <m:nor/>
              </m:rPr>
              <w:rPr>
                <w:rFonts w:ascii="Cambria Math" w:hAnsi="Cambria Math"/>
              </w:rPr>
              <m:t>min,close</m:t>
            </m:r>
          </m:sub>
        </m:sSub>
      </m:oMath>
      <w:r>
        <w:t xml:space="preserve"> and 25 degrees C, and if the contrast between daytime and nighttime air temperatures is greater than 5 degrees C, then ground heat flux is calculated based on an empirical relationship determined using field data and spectral vegetation indices (Jacobsen and Hansen 1999; Mu et al. 2011):</w:t>
      </w:r>
    </w:p>
    <w:p w14:paraId="521FDAE1" w14:textId="28449926" w:rsidR="006D08D3" w:rsidRDefault="006D08D3" w:rsidP="001160FE">
      <w:pPr>
        <w:pStyle w:val="BodyText"/>
        <w:jc w:val="both"/>
      </w:pPr>
      <m:oMath>
        <m:r>
          <w:rPr>
            <w:rFonts w:ascii="Cambria Math" w:hAnsi="Cambria Math"/>
          </w:rPr>
          <m:t xml:space="preserve">G=4.73T-20.87           </m:t>
        </m:r>
        <m:r>
          <m:rPr>
            <m:lit/>
            <m:nor/>
          </m:rPr>
          <w:rPr>
            <w:rFonts w:ascii="Cambria Math" w:hAnsi="Cambria Math"/>
          </w:rPr>
          <m:t>iff</m:t>
        </m:r>
        <m:r>
          <m:rPr>
            <m:nor/>
          </m:rPr>
          <w:rPr>
            <w:rFonts w:ascii="Cambria Math" w:hAnsi="Cambria Math"/>
          </w:rPr>
          <m:t xml:space="preserve">  </m:t>
        </m:r>
        <m:sSub>
          <m:sSubPr>
            <m:ctrlPr>
              <w:rPr>
                <w:rFonts w:ascii="Cambria Math" w:hAnsi="Cambria Math"/>
              </w:rPr>
            </m:ctrlPr>
          </m:sSubPr>
          <m:e>
            <m:r>
              <w:rPr>
                <w:rFonts w:ascii="Cambria Math" w:hAnsi="Cambria Math"/>
              </w:rPr>
              <m:t xml:space="preserve"> T</m:t>
            </m:r>
          </m:e>
          <m:sub>
            <m:r>
              <m:rPr>
                <m:lit/>
                <m:nor/>
              </m:rPr>
              <w:rPr>
                <w:rFonts w:ascii="Cambria Math" w:hAnsi="Cambria Math"/>
              </w:rPr>
              <m:t>min,close</m:t>
            </m:r>
          </m:sub>
        </m:sSub>
        <m:r>
          <w:rPr>
            <w:rFonts w:ascii="Cambria Math" w:hAnsi="Cambria Math"/>
          </w:rPr>
          <m:t>≤</m:t>
        </m:r>
        <m:sSub>
          <m:sSubPr>
            <m:ctrlPr>
              <w:rPr>
                <w:rFonts w:ascii="Cambria Math" w:hAnsi="Cambria Math"/>
              </w:rPr>
            </m:ctrlPr>
          </m:sSubPr>
          <m:e>
            <m:r>
              <w:rPr>
                <w:rFonts w:ascii="Cambria Math" w:hAnsi="Cambria Math"/>
              </w:rPr>
              <m:t>T</m:t>
            </m:r>
          </m:e>
          <m:sub>
            <m:r>
              <m:rPr>
                <m:lit/>
                <m:nor/>
              </m:rPr>
              <w:rPr>
                <w:rFonts w:ascii="Cambria Math" w:hAnsi="Cambria Math"/>
              </w:rPr>
              <m:t>annual</m:t>
            </m:r>
          </m:sub>
        </m:sSub>
        <m:r>
          <w:rPr>
            <w:rFonts w:ascii="Cambria Math" w:hAnsi="Cambria Math"/>
          </w:rPr>
          <m:t>&lt;25,</m:t>
        </m:r>
        <m:sSub>
          <m:sSubPr>
            <m:ctrlPr>
              <w:rPr>
                <w:rFonts w:ascii="Cambria Math" w:hAnsi="Cambria Math"/>
              </w:rPr>
            </m:ctrlPr>
          </m:sSubPr>
          <m:e>
            <m:r>
              <w:rPr>
                <w:rFonts w:ascii="Cambria Math" w:hAnsi="Cambria Math"/>
              </w:rPr>
              <m:t>T</m:t>
            </m:r>
          </m:e>
          <m:sub>
            <m:r>
              <m:rPr>
                <m:lit/>
                <m:nor/>
              </m:rPr>
              <w:rPr>
                <w:rFonts w:ascii="Cambria Math" w:hAnsi="Cambria Math"/>
              </w:rPr>
              <m:t>day</m:t>
            </m:r>
          </m:sub>
        </m:sSub>
        <m:r>
          <w:rPr>
            <w:rFonts w:ascii="Cambria Math" w:hAnsi="Cambria Math"/>
          </w:rPr>
          <m:t>-</m:t>
        </m:r>
        <m:sSub>
          <m:sSubPr>
            <m:ctrlPr>
              <w:rPr>
                <w:rFonts w:ascii="Cambria Math" w:hAnsi="Cambria Math"/>
              </w:rPr>
            </m:ctrlPr>
          </m:sSubPr>
          <m:e>
            <m:r>
              <w:rPr>
                <w:rFonts w:ascii="Cambria Math" w:hAnsi="Cambria Math"/>
              </w:rPr>
              <m:t>T</m:t>
            </m:r>
          </m:e>
          <m:sub>
            <m:r>
              <m:rPr>
                <m:lit/>
                <m:nor/>
              </m:rPr>
              <w:rPr>
                <w:rFonts w:ascii="Cambria Math" w:hAnsi="Cambria Math"/>
              </w:rPr>
              <m:t>night</m:t>
            </m:r>
          </m:sub>
        </m:sSub>
        <m:r>
          <w:rPr>
            <w:rFonts w:ascii="Cambria Math" w:hAnsi="Cambria Math"/>
          </w:rPr>
          <m:t>≥5</m:t>
        </m:r>
      </m:oMath>
      <w:r w:rsidR="004A2262">
        <w:t xml:space="preserve">        (3.3)</w:t>
      </w:r>
    </w:p>
    <w:p w14:paraId="2B1CBC76" w14:textId="77777777" w:rsidR="006D08D3" w:rsidRDefault="006D08D3" w:rsidP="001160FE">
      <w:pPr>
        <w:pStyle w:val="FirstParagraph"/>
        <w:spacing w:before="120" w:after="120"/>
        <w:jc w:val="both"/>
      </w:pPr>
      <w:r>
        <w:t xml:space="preserve">Otherwise, ground heat flux is zero. When non-zero (as above), we additionally constrain </w:t>
      </w:r>
      <m:oMath>
        <m:r>
          <w:rPr>
            <w:rFonts w:ascii="Cambria Math" w:hAnsi="Cambria Math"/>
          </w:rPr>
          <m:t>G</m:t>
        </m:r>
      </m:oMath>
      <w:r>
        <w:t xml:space="preserve"> so that it is no greater than 39% of the net radiation to the land surface:</w:t>
      </w:r>
    </w:p>
    <w:p w14:paraId="0876C2BA" w14:textId="1CF67771" w:rsidR="006D08D3" w:rsidRDefault="006D08D3" w:rsidP="001160FE">
      <w:pPr>
        <w:pStyle w:val="BodyText"/>
        <w:jc w:val="both"/>
      </w:pPr>
      <m:oMath>
        <m:r>
          <w:rPr>
            <w:rFonts w:ascii="Cambria Math" w:hAnsi="Cambria Math"/>
          </w:rPr>
          <m:t xml:space="preserve">G=0.39A   </m:t>
        </m:r>
        <m:r>
          <m:rPr>
            <m:lit/>
            <m:nor/>
          </m:rPr>
          <w:rPr>
            <w:rFonts w:ascii="Cambria Math" w:hAnsi="Cambria Math"/>
          </w:rPr>
          <m:t>iff</m:t>
        </m:r>
        <m:r>
          <m:rPr>
            <m:nor/>
          </m:rPr>
          <w:rPr>
            <w:rFonts w:ascii="Cambria Math" w:hAnsi="Cambria Math"/>
          </w:rPr>
          <m:t xml:space="preserve">   </m:t>
        </m:r>
        <m:r>
          <w:rPr>
            <w:rFonts w:ascii="Cambria Math" w:hAnsi="Cambria Math"/>
          </w:rPr>
          <m:t>G&gt;0.39</m:t>
        </m:r>
        <m:d>
          <m:dPr>
            <m:begChr m:val="|"/>
            <m:endChr m:val="|"/>
            <m:ctrlPr>
              <w:rPr>
                <w:rFonts w:ascii="Cambria Math" w:hAnsi="Cambria Math"/>
              </w:rPr>
            </m:ctrlPr>
          </m:dPr>
          <m:e>
            <m:r>
              <w:rPr>
                <w:rFonts w:ascii="Cambria Math" w:hAnsi="Cambria Math"/>
              </w:rPr>
              <m:t>A</m:t>
            </m:r>
          </m:e>
        </m:d>
      </m:oMath>
      <w:r w:rsidR="004A2262">
        <w:t xml:space="preserve">     </w:t>
      </w:r>
      <w:r w:rsidR="004A2262">
        <w:tab/>
      </w:r>
      <w:r w:rsidR="004A2262">
        <w:tab/>
      </w:r>
      <w:r w:rsidR="004A2262">
        <w:tab/>
      </w:r>
      <w:r w:rsidR="004A2262">
        <w:tab/>
      </w:r>
      <w:r w:rsidR="004A2262">
        <w:tab/>
      </w:r>
      <w:r w:rsidR="004A2262">
        <w:tab/>
        <w:t>(3.4)</w:t>
      </w:r>
    </w:p>
    <w:p w14:paraId="2C200E15" w14:textId="37A3DFAB" w:rsidR="006D08D3" w:rsidRDefault="006D08D3" w:rsidP="001160FE">
      <w:pPr>
        <w:pStyle w:val="FirstParagraph"/>
        <w:spacing w:before="120"/>
        <w:jc w:val="both"/>
      </w:pPr>
      <w:r>
        <w:lastRenderedPageBreak/>
        <w:t xml:space="preserve">Again, </w:t>
      </w:r>
      <m:oMath>
        <m:r>
          <w:rPr>
            <w:rFonts w:ascii="Cambria Math" w:hAnsi="Cambria Math"/>
          </w:rPr>
          <m:t>G</m:t>
        </m:r>
      </m:oMath>
      <w:r>
        <w:t xml:space="preserve"> and </w:t>
      </w:r>
      <m:oMath>
        <m:sSub>
          <m:sSubPr>
            <m:ctrlPr>
              <w:rPr>
                <w:rFonts w:ascii="Cambria Math" w:hAnsi="Cambria Math"/>
              </w:rPr>
            </m:ctrlPr>
          </m:sSubPr>
          <m:e>
            <m:r>
              <w:rPr>
                <w:rFonts w:ascii="Cambria Math" w:hAnsi="Cambria Math"/>
              </w:rPr>
              <m:t>A</m:t>
            </m:r>
          </m:e>
          <m:sub>
            <m:r>
              <m:rPr>
                <m:lit/>
                <m:nor/>
              </m:rPr>
              <w:rPr>
                <w:rFonts w:ascii="Cambria Math" w:hAnsi="Cambria Math"/>
              </w:rPr>
              <m:t>soil</m:t>
            </m:r>
          </m:sub>
        </m:sSub>
      </m:oMath>
      <w:r>
        <w:t xml:space="preserve"> are calculated separately for daytime and nighttime input values. When calculating daytime </w:t>
      </w:r>
      <m:oMath>
        <m:r>
          <w:rPr>
            <w:rFonts w:ascii="Cambria Math" w:hAnsi="Cambria Math"/>
          </w:rPr>
          <m:t>G</m:t>
        </m:r>
      </m:oMath>
      <w:r>
        <w:t xml:space="preserve">, if the daytime </w:t>
      </w:r>
      <m:oMath>
        <m:r>
          <w:rPr>
            <w:rFonts w:ascii="Cambria Math" w:hAnsi="Cambria Math"/>
          </w:rPr>
          <m:t>G</m:t>
        </m:r>
      </m:oMath>
      <w:r>
        <w:t xml:space="preserve"> would be greater than </w:t>
      </w:r>
      <m:oMath>
        <m:r>
          <w:rPr>
            <w:rFonts w:ascii="Cambria Math" w:hAnsi="Cambria Math"/>
          </w:rPr>
          <m:t>A</m:t>
        </m:r>
      </m:oMath>
      <w:r>
        <w:t xml:space="preserve">, then </w:t>
      </w:r>
      <m:oMath>
        <m:r>
          <w:rPr>
            <w:rFonts w:ascii="Cambria Math" w:hAnsi="Cambria Math"/>
          </w:rPr>
          <m:t>G=A</m:t>
        </m:r>
      </m:oMath>
      <w:r>
        <w:t xml:space="preserve">. When calculating nighttime </w:t>
      </w:r>
      <m:oMath>
        <m:r>
          <w:rPr>
            <w:rFonts w:ascii="Cambria Math" w:hAnsi="Cambria Math"/>
          </w:rPr>
          <m:t>G</m:t>
        </m:r>
      </m:oMath>
      <w:r>
        <w:t xml:space="preserve">, if nighttime </w:t>
      </w:r>
      <m:oMath>
        <m:r>
          <w:rPr>
            <w:rFonts w:ascii="Cambria Math" w:hAnsi="Cambria Math"/>
          </w:rPr>
          <m:t>A</m:t>
        </m:r>
      </m:oMath>
      <w:r>
        <w:t xml:space="preserve"> (equivalent to </w:t>
      </w:r>
      <m:oMath>
        <m:sSub>
          <m:sSubPr>
            <m:ctrlPr>
              <w:rPr>
                <w:rFonts w:ascii="Cambria Math" w:hAnsi="Cambria Math"/>
              </w:rPr>
            </m:ctrlPr>
          </m:sSubPr>
          <m:e>
            <m:r>
              <w:rPr>
                <w:rFonts w:ascii="Cambria Math" w:hAnsi="Cambria Math"/>
              </w:rPr>
              <m:t>R</m:t>
            </m:r>
          </m:e>
          <m:sub>
            <m:r>
              <w:rPr>
                <w:rFonts w:ascii="Cambria Math" w:hAnsi="Cambria Math"/>
              </w:rPr>
              <m:t>L</m:t>
            </m:r>
          </m:sub>
        </m:sSub>
      </m:oMath>
      <w:r>
        <w:t xml:space="preserve">) minus </w:t>
      </w:r>
      <m:oMath>
        <m:r>
          <w:rPr>
            <w:rFonts w:ascii="Cambria Math" w:hAnsi="Cambria Math"/>
          </w:rPr>
          <m:t>G</m:t>
        </m:r>
      </m:oMath>
      <w:r>
        <w:t xml:space="preserve"> would be less than -0.5 times daytime </w:t>
      </w:r>
      <m:oMath>
        <m:r>
          <w:rPr>
            <w:rFonts w:ascii="Cambria Math" w:hAnsi="Cambria Math"/>
          </w:rPr>
          <m:t>A</m:t>
        </m:r>
      </m:oMath>
      <w:r>
        <w:t xml:space="preserve">, then </w:t>
      </w:r>
      <m:oMath>
        <m:r>
          <w:rPr>
            <w:rFonts w:ascii="Cambria Math" w:hAnsi="Cambria Math"/>
          </w:rPr>
          <m:t>G</m:t>
        </m:r>
      </m:oMath>
      <w:r>
        <w:t xml:space="preserve"> is taken to be equal to nighttime </w:t>
      </w:r>
      <m:oMath>
        <m:r>
          <w:rPr>
            <w:rFonts w:ascii="Cambria Math" w:hAnsi="Cambria Math"/>
          </w:rPr>
          <m:t>A</m:t>
        </m:r>
      </m:oMath>
      <w:r>
        <w:t xml:space="preserve"> plus half of daytime </w:t>
      </w:r>
      <m:oMath>
        <m:r>
          <w:rPr>
            <w:rFonts w:ascii="Cambria Math" w:hAnsi="Cambria Math"/>
          </w:rPr>
          <m:t>A</m:t>
        </m:r>
      </m:oMath>
      <w:r>
        <w:t>.</w:t>
      </w:r>
    </w:p>
    <w:p w14:paraId="4B41804F" w14:textId="77777777" w:rsidR="006D08D3" w:rsidRDefault="006D08D3" w:rsidP="002969DD">
      <w:pPr>
        <w:pStyle w:val="FirstParagraph"/>
        <w:spacing w:after="120"/>
        <w:jc w:val="both"/>
      </w:pPr>
    </w:p>
    <w:p w14:paraId="3D36F691" w14:textId="214089AF" w:rsidR="00031310" w:rsidRDefault="00EA4C4E" w:rsidP="002969DD">
      <w:pPr>
        <w:pStyle w:val="Heading3"/>
        <w:jc w:val="both"/>
      </w:pPr>
      <w:bookmarkStart w:id="25" w:name="_Toc181041682"/>
      <w:r>
        <w:t xml:space="preserve">3.1.2 </w:t>
      </w:r>
      <w:bookmarkStart w:id="26" w:name="Xd16da0d2d89cc88637c8de70bbd86a47dc38844"/>
      <w:r>
        <w:t>Vapor Pressure, Humidity, and Saturated Fraction</w:t>
      </w:r>
      <w:bookmarkEnd w:id="25"/>
      <w:bookmarkEnd w:id="26"/>
    </w:p>
    <w:p w14:paraId="009DE8C7" w14:textId="77777777" w:rsidR="00031310" w:rsidRDefault="00EA4C4E" w:rsidP="002969DD">
      <w:pPr>
        <w:pStyle w:val="FirstParagraph"/>
        <w:jc w:val="both"/>
      </w:pPr>
      <w:r>
        <w:t xml:space="preserve">There are </w:t>
      </w:r>
      <w:proofErr w:type="gramStart"/>
      <w:r>
        <w:t>a number of</w:t>
      </w:r>
      <w:proofErr w:type="gramEnd"/>
      <w:r>
        <w:t xml:space="preserve"> quantities used in calculating all three components that must be calculated separately for daytime and nighttime inputs.</w:t>
      </w:r>
    </w:p>
    <w:p w14:paraId="44F7D470" w14:textId="0325DCF8" w:rsidR="00031310" w:rsidRDefault="00EA4C4E" w:rsidP="002969DD">
      <w:pPr>
        <w:pStyle w:val="BodyText"/>
        <w:spacing w:before="120" w:after="120"/>
        <w:ind w:firstLine="432"/>
        <w:jc w:val="both"/>
      </w:pPr>
      <w:r>
        <w:t xml:space="preserve">The </w:t>
      </w:r>
      <w:r>
        <w:rPr>
          <w:b/>
        </w:rPr>
        <w:t>saturation vapor pressure (SVP)</w:t>
      </w:r>
      <w:r>
        <w:t xml:space="preserve"> </w:t>
      </w:r>
      <w:r w:rsidR="001C6934">
        <w:t>in Pa</w:t>
      </w:r>
      <w:r w:rsidR="00A47C6F">
        <w:t>scal</w:t>
      </w:r>
      <w:r w:rsidR="001C6934">
        <w:t xml:space="preserve"> </w:t>
      </w:r>
      <w:r>
        <w:t xml:space="preserve">is calculated </w:t>
      </w:r>
      <w:r w:rsidR="00A47C6F">
        <w:t>using the below equation (</w:t>
      </w:r>
      <w:r w:rsidR="00A47C6F" w:rsidRPr="00425C93">
        <w:rPr>
          <w:rFonts w:cs="Times New Roman"/>
          <w:bCs/>
        </w:rPr>
        <w:t>Abbott</w:t>
      </w:r>
      <w:r w:rsidR="00A47C6F">
        <w:rPr>
          <w:rFonts w:cs="Times New Roman"/>
          <w:bCs/>
        </w:rPr>
        <w:t xml:space="preserve"> and </w:t>
      </w:r>
      <w:proofErr w:type="spellStart"/>
      <w:r w:rsidR="00A47C6F" w:rsidRPr="00425C93">
        <w:rPr>
          <w:rFonts w:cs="Times New Roman"/>
          <w:bCs/>
        </w:rPr>
        <w:t>Tabony</w:t>
      </w:r>
      <w:proofErr w:type="spellEnd"/>
      <w:r w:rsidR="00A47C6F">
        <w:rPr>
          <w:rFonts w:cs="Times New Roman"/>
          <w:bCs/>
        </w:rPr>
        <w:t>, 1985</w:t>
      </w:r>
      <w:r w:rsidR="00F16405">
        <w:rPr>
          <w:rFonts w:cs="Times New Roman"/>
          <w:bCs/>
        </w:rPr>
        <w:t xml:space="preserve">; </w:t>
      </w:r>
      <w:r w:rsidR="00B606FB">
        <w:rPr>
          <w:rFonts w:cs="Times New Roman"/>
          <w:bCs/>
        </w:rPr>
        <w:t xml:space="preserve">the formular </w:t>
      </w:r>
      <w:r w:rsidR="00F16405">
        <w:rPr>
          <w:rFonts w:cs="Times New Roman"/>
          <w:bCs/>
        </w:rPr>
        <w:t xml:space="preserve">was cited by </w:t>
      </w:r>
      <w:proofErr w:type="spellStart"/>
      <w:r w:rsidR="00F16405" w:rsidRPr="00F16405">
        <w:rPr>
          <w:rFonts w:cs="Times New Roman"/>
          <w:bCs/>
        </w:rPr>
        <w:t>Alduchov</w:t>
      </w:r>
      <w:proofErr w:type="spellEnd"/>
      <w:r w:rsidR="00F16405">
        <w:rPr>
          <w:rFonts w:cs="Times New Roman"/>
          <w:bCs/>
        </w:rPr>
        <w:t xml:space="preserve"> and </w:t>
      </w:r>
      <w:r w:rsidR="00F16405" w:rsidRPr="00F16405">
        <w:rPr>
          <w:rFonts w:cs="Times New Roman"/>
          <w:bCs/>
        </w:rPr>
        <w:t>Eskridge</w:t>
      </w:r>
      <w:r w:rsidR="00F16405">
        <w:rPr>
          <w:rFonts w:cs="Times New Roman"/>
          <w:bCs/>
        </w:rPr>
        <w:t>, 1996</w:t>
      </w:r>
      <w:r w:rsidR="00A47C6F">
        <w:t>)</w:t>
      </w:r>
      <w:r>
        <w:t>:</w:t>
      </w:r>
    </w:p>
    <w:p w14:paraId="46F25CA9" w14:textId="64A4D031" w:rsidR="001C6934" w:rsidRDefault="001C6934" w:rsidP="002969DD">
      <w:pPr>
        <w:pStyle w:val="BodyText"/>
        <w:ind w:firstLine="0"/>
        <w:jc w:val="both"/>
      </w:pPr>
    </w:p>
    <w:p w14:paraId="00CE7F56" w14:textId="6B88C8A0" w:rsidR="00123F92" w:rsidRPr="00CB453C" w:rsidRDefault="00123F92" w:rsidP="002969DD">
      <w:pPr>
        <w:pStyle w:val="BodyText"/>
        <w:tabs>
          <w:tab w:val="left" w:pos="6810"/>
        </w:tabs>
        <w:ind w:firstLine="0"/>
        <w:jc w:val="both"/>
      </w:pPr>
      <m:oMath>
        <m:r>
          <w:rPr>
            <w:rFonts w:ascii="Cambria Math" w:hAnsi="Cambria Math"/>
          </w:rPr>
          <m:t>SVP=610.7 ×</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17.38 × (T-273.15)</m:t>
            </m:r>
          </m:num>
          <m:den>
            <m:r>
              <w:rPr>
                <w:rFonts w:ascii="Cambria Math" w:hAnsi="Cambria Math"/>
              </w:rPr>
              <m:t>239 +(T-273.15)</m:t>
            </m:r>
          </m:den>
        </m:f>
        <m:r>
          <w:rPr>
            <w:rFonts w:ascii="Cambria Math" w:hAnsi="Cambria Math"/>
          </w:rPr>
          <m:t>)</m:t>
        </m:r>
      </m:oMath>
      <w:r w:rsidR="004A2262">
        <w:t xml:space="preserve"> </w:t>
      </w:r>
      <w:r w:rsidR="004A2262">
        <w:tab/>
      </w:r>
      <w:r w:rsidR="004A2262">
        <w:tab/>
      </w:r>
      <w:r w:rsidR="004A2262">
        <w:tab/>
        <w:t>(3.5)</w:t>
      </w:r>
    </w:p>
    <w:p w14:paraId="2C2869B5" w14:textId="77777777" w:rsidR="00F16405" w:rsidRDefault="00F16405" w:rsidP="002969DD">
      <w:pPr>
        <w:pStyle w:val="BodyText"/>
        <w:ind w:firstLine="0"/>
        <w:jc w:val="both"/>
      </w:pPr>
    </w:p>
    <w:p w14:paraId="24C56949" w14:textId="02B9E40D" w:rsidR="00031310" w:rsidRDefault="00F16405" w:rsidP="002969DD">
      <w:pPr>
        <w:pStyle w:val="BodyText"/>
        <w:ind w:firstLine="0"/>
        <w:jc w:val="both"/>
      </w:pPr>
      <w:r>
        <w:t>Wh</w:t>
      </w:r>
      <w:r w:rsidR="00467B0A">
        <w:t xml:space="preserve">ere </w:t>
      </w:r>
      <m:oMath>
        <m:r>
          <w:rPr>
            <w:rFonts w:ascii="Cambria Math" w:hAnsi="Cambria Math"/>
          </w:rPr>
          <m:t>T</m:t>
        </m:r>
      </m:oMath>
      <w:r w:rsidR="00EA4C4E">
        <w:t xml:space="preserve"> is the temperature in </w:t>
      </w:r>
      <w:r w:rsidR="00123F92">
        <w:t>Kelvin</w:t>
      </w:r>
      <w:r w:rsidR="00EA4C4E">
        <w:t>.</w:t>
      </w:r>
    </w:p>
    <w:p w14:paraId="4464D6C8" w14:textId="77777777" w:rsidR="00031310" w:rsidRDefault="00EA4C4E" w:rsidP="002969DD">
      <w:pPr>
        <w:pStyle w:val="BodyText"/>
        <w:spacing w:before="120" w:after="120"/>
        <w:ind w:firstLine="432"/>
        <w:jc w:val="both"/>
      </w:pPr>
      <w:r>
        <w:rPr>
          <w:b/>
        </w:rPr>
        <w:t>Vapor pressure deficit (VPD)</w:t>
      </w:r>
      <w:r>
        <w:t xml:space="preserve"> can be calculated a variety of ways but is always defined as the difference between SVP and the actual vapor pressure (AVP); hence, VNP16 calculates VPD by first calculating the AVP, after Gates (1980):</w:t>
      </w:r>
    </w:p>
    <w:p w14:paraId="6B909883" w14:textId="7DC97DD0" w:rsidR="00031310" w:rsidRDefault="00EA4C4E" w:rsidP="002969DD">
      <w:pPr>
        <w:pStyle w:val="BodyText"/>
        <w:jc w:val="both"/>
      </w:pPr>
      <m:oMath>
        <m:r>
          <m:rPr>
            <m:lit/>
            <m:nor/>
          </m:rPr>
          <w:rPr>
            <w:rFonts w:ascii="Cambria Math" w:hAnsi="Cambria Math"/>
          </w:rPr>
          <m:t>AVP</m:t>
        </m:r>
        <m:r>
          <w:rPr>
            <w:rFonts w:ascii="Cambria Math" w:hAnsi="Cambria Math"/>
          </w:rPr>
          <m:t>=</m:t>
        </m:r>
        <m:f>
          <m:fPr>
            <m:ctrlPr>
              <w:rPr>
                <w:rFonts w:ascii="Cambria Math" w:hAnsi="Cambria Math"/>
              </w:rPr>
            </m:ctrlPr>
          </m:fPr>
          <m:num>
            <m:r>
              <m:rPr>
                <m:lit/>
                <m:nor/>
              </m:rPr>
              <w:rPr>
                <w:rFonts w:ascii="Cambria Math" w:hAnsi="Cambria Math"/>
              </w:rPr>
              <m:t>QV10M</m:t>
            </m:r>
            <m:r>
              <w:rPr>
                <w:rFonts w:ascii="Cambria Math" w:hAnsi="Cambria Math"/>
              </w:rPr>
              <m:t>×</m:t>
            </m:r>
            <m:r>
              <m:rPr>
                <m:lit/>
                <m:nor/>
              </m:rPr>
              <w:rPr>
                <w:rFonts w:ascii="Cambria Math" w:hAnsi="Cambria Math"/>
              </w:rPr>
              <m:t>P</m:t>
            </m:r>
          </m:num>
          <m:den>
            <m:r>
              <w:rPr>
                <w:rFonts w:ascii="Cambria Math" w:hAnsi="Cambria Math"/>
              </w:rPr>
              <m:t>0.622+0.379×</m:t>
            </m:r>
            <m:r>
              <m:rPr>
                <m:lit/>
                <m:nor/>
              </m:rPr>
              <w:rPr>
                <w:rFonts w:ascii="Cambria Math" w:hAnsi="Cambria Math"/>
              </w:rPr>
              <m:t>QV10M</m:t>
            </m:r>
          </m:den>
        </m:f>
      </m:oMath>
      <w:r w:rsidR="004A2262">
        <w:tab/>
      </w:r>
      <w:r w:rsidR="004A2262">
        <w:tab/>
      </w:r>
      <w:r w:rsidR="004A2262">
        <w:tab/>
      </w:r>
      <w:r w:rsidR="004A2262">
        <w:tab/>
      </w:r>
      <w:r w:rsidR="004A2262">
        <w:tab/>
      </w:r>
      <w:r w:rsidR="004A2262">
        <w:tab/>
      </w:r>
      <w:r w:rsidR="004A2262">
        <w:tab/>
        <w:t>(3.6)</w:t>
      </w:r>
    </w:p>
    <w:p w14:paraId="093A5F34" w14:textId="7C0934C9" w:rsidR="00B606FB" w:rsidRDefault="00467B0A" w:rsidP="002969DD">
      <w:pPr>
        <w:pStyle w:val="FirstParagraph"/>
        <w:spacing w:before="120" w:after="120"/>
        <w:jc w:val="both"/>
      </w:pPr>
      <w:r>
        <w:t xml:space="preserve">where </w:t>
      </w:r>
      <w:r w:rsidR="00EA4C4E">
        <w:t xml:space="preserve">QV10M is the water vapor mixing ratio at 10-meter height (units: </w:t>
      </w:r>
      <w:r w:rsidR="00B606FB">
        <w:t>kg/kg</w:t>
      </w:r>
      <w:r w:rsidR="00EA4C4E">
        <w:t>) and P is the surface pressure (units: Pa)</w:t>
      </w:r>
      <w:r w:rsidR="00B606FB">
        <w:t xml:space="preserve"> (</w:t>
      </w:r>
      <w:r w:rsidR="00B606FB" w:rsidRPr="000D2F96">
        <w:t xml:space="preserve">Note that here P is from the global meteorological data GMAO/NASA not derived from elevation.  For all the rest air pressures, they are derived from elevation using the Equation </w:t>
      </w:r>
      <w:r w:rsidR="00F42516">
        <w:t>3.14</w:t>
      </w:r>
      <w:r w:rsidR="00B606FB">
        <w:t>)</w:t>
      </w:r>
      <w:r w:rsidR="00EA4C4E">
        <w:t xml:space="preserve">. </w:t>
      </w:r>
      <w:r w:rsidR="00B606FB">
        <w:t>VPD (units: Pa) is the differences between SVP and AVP:</w:t>
      </w:r>
    </w:p>
    <w:p w14:paraId="69EDF3AA" w14:textId="54496EED" w:rsidR="00B606FB" w:rsidRPr="00B606FB" w:rsidRDefault="00B606FB" w:rsidP="002969DD">
      <w:pPr>
        <w:pStyle w:val="FirstParagraph"/>
        <w:spacing w:before="120" w:after="120"/>
        <w:jc w:val="both"/>
      </w:pPr>
      <m:oMathPara>
        <m:oMathParaPr>
          <m:jc m:val="left"/>
        </m:oMathParaPr>
        <m:oMath>
          <m:r>
            <w:rPr>
              <w:rFonts w:ascii="Cambria Math" w:hAnsi="Cambria Math"/>
            </w:rPr>
            <m:t>VPD=SVP-AVP</m:t>
          </m:r>
        </m:oMath>
      </m:oMathPara>
    </w:p>
    <w:p w14:paraId="5D93234F" w14:textId="533C088D" w:rsidR="00B606FB" w:rsidRPr="00B606FB" w:rsidRDefault="00B606FB" w:rsidP="002969DD">
      <w:pPr>
        <w:pStyle w:val="FirstParagraph"/>
        <w:spacing w:before="120" w:after="120"/>
        <w:jc w:val="both"/>
      </w:pPr>
      <m:oMath>
        <m:r>
          <w:rPr>
            <w:rFonts w:ascii="Cambria Math" w:hAnsi="Cambria Math"/>
          </w:rPr>
          <m:t>VPD=0 iff VPD&lt;0</m:t>
        </m:r>
      </m:oMath>
      <w:r w:rsidR="004A2262">
        <w:tab/>
      </w:r>
      <w:r w:rsidR="004A2262">
        <w:tab/>
      </w:r>
      <w:r w:rsidR="004A2262">
        <w:tab/>
      </w:r>
      <w:r w:rsidR="004A2262">
        <w:tab/>
      </w:r>
      <w:r w:rsidR="004A2262">
        <w:tab/>
      </w:r>
      <w:r w:rsidR="004A2262">
        <w:tab/>
      </w:r>
      <w:r w:rsidR="004A2262">
        <w:tab/>
      </w:r>
      <w:r w:rsidR="004A2262">
        <w:tab/>
        <w:t>(3.7)</w:t>
      </w:r>
    </w:p>
    <w:p w14:paraId="5826F8B3" w14:textId="77777777" w:rsidR="00CE4905" w:rsidRDefault="00CE4905" w:rsidP="002969DD">
      <w:pPr>
        <w:pStyle w:val="BodyText"/>
        <w:ind w:firstLine="0"/>
        <w:jc w:val="both"/>
      </w:pPr>
    </w:p>
    <w:p w14:paraId="568C17C2" w14:textId="77777777" w:rsidR="000D2F96" w:rsidRDefault="000D2F96" w:rsidP="001160FE">
      <w:pPr>
        <w:pStyle w:val="BodyText"/>
        <w:ind w:firstLine="0"/>
        <w:jc w:val="both"/>
      </w:pPr>
      <w:r w:rsidRPr="000D2F96">
        <w:t>Note that T is day and nighttime dependent to distinguish day/nighttime SVP and VPD.</w:t>
      </w:r>
    </w:p>
    <w:p w14:paraId="489EE038" w14:textId="77777777" w:rsidR="000D2F96" w:rsidRDefault="000D2F96" w:rsidP="002969DD">
      <w:pPr>
        <w:pStyle w:val="BodyText"/>
        <w:ind w:firstLine="0"/>
        <w:jc w:val="both"/>
      </w:pPr>
    </w:p>
    <w:p w14:paraId="1027EECF" w14:textId="2D9FF6BB" w:rsidR="00CE4905" w:rsidRDefault="00EA4C4E" w:rsidP="002969DD">
      <w:pPr>
        <w:pStyle w:val="FirstParagraph"/>
        <w:spacing w:before="120" w:after="120"/>
        <w:jc w:val="both"/>
      </w:pPr>
      <w:r>
        <w:rPr>
          <w:b/>
        </w:rPr>
        <w:t>Relative humidity (RH)</w:t>
      </w:r>
      <w:r>
        <w:t xml:space="preserve"> can then be calculated as the </w:t>
      </w:r>
      <w:r w:rsidR="00CE4905">
        <w:t>percentage of the ratio of AVP to SVP</w:t>
      </w:r>
      <w:r>
        <w:t>:</w:t>
      </w:r>
    </w:p>
    <w:p w14:paraId="58351CEB" w14:textId="01D2F8F0" w:rsidR="00CE4905" w:rsidRPr="00CE4905" w:rsidRDefault="00CE4905" w:rsidP="002969DD">
      <w:pPr>
        <w:pStyle w:val="BodyText"/>
        <w:jc w:val="both"/>
      </w:pPr>
      <m:oMathPara>
        <m:oMathParaPr>
          <m:jc m:val="left"/>
        </m:oMathParaPr>
        <m:oMath>
          <m:r>
            <w:rPr>
              <w:rFonts w:ascii="Cambria Math" w:hAnsi="Cambria Math"/>
            </w:rPr>
            <m:t>RH=100×</m:t>
          </m:r>
          <m:f>
            <m:fPr>
              <m:ctrlPr>
                <w:rPr>
                  <w:rFonts w:ascii="Cambria Math" w:hAnsi="Cambria Math"/>
                </w:rPr>
              </m:ctrlPr>
            </m:fPr>
            <m:num>
              <m:r>
                <w:rPr>
                  <w:rFonts w:ascii="Cambria Math" w:hAnsi="Cambria Math"/>
                </w:rPr>
                <m:t>AVP</m:t>
              </m:r>
            </m:num>
            <m:den>
              <m:r>
                <w:rPr>
                  <w:rFonts w:ascii="Cambria Math" w:hAnsi="Cambria Math"/>
                </w:rPr>
                <m:t>SVP</m:t>
              </m:r>
            </m:den>
          </m:f>
        </m:oMath>
      </m:oMathPara>
    </w:p>
    <w:p w14:paraId="550B1168" w14:textId="6AC1C692" w:rsidR="004902D6" w:rsidRDefault="004902D6" w:rsidP="002969DD">
      <w:pPr>
        <w:pStyle w:val="BodyText"/>
        <w:ind w:firstLine="0"/>
        <w:jc w:val="both"/>
      </w:pPr>
      <w:r w:rsidRPr="002969DD">
        <w:rPr>
          <w:i/>
          <w:iCs/>
        </w:rPr>
        <w:t>RH</w:t>
      </w:r>
      <w:r>
        <w:t xml:space="preserve"> = </w:t>
      </w:r>
      <w:proofErr w:type="gramStart"/>
      <w:r>
        <w:t xml:space="preserve">100  </w:t>
      </w:r>
      <w:proofErr w:type="spellStart"/>
      <w:r>
        <w:t>iff</w:t>
      </w:r>
      <w:proofErr w:type="spellEnd"/>
      <w:proofErr w:type="gramEnd"/>
      <w:r>
        <w:t xml:space="preserve">  </w:t>
      </w:r>
      <w:r w:rsidRPr="002969DD">
        <w:rPr>
          <w:i/>
          <w:iCs/>
        </w:rPr>
        <w:t>RH</w:t>
      </w:r>
      <w:r>
        <w:t xml:space="preserve"> &gt; 100</w:t>
      </w:r>
      <w:r w:rsidR="004A2262">
        <w:tab/>
      </w:r>
      <w:r w:rsidR="004A2262">
        <w:tab/>
      </w:r>
      <w:r w:rsidR="004A2262">
        <w:tab/>
      </w:r>
      <w:r w:rsidR="004A2262">
        <w:tab/>
      </w:r>
      <w:r w:rsidR="004A2262">
        <w:tab/>
      </w:r>
      <w:r w:rsidR="004A2262">
        <w:tab/>
      </w:r>
      <w:r w:rsidR="004A2262">
        <w:tab/>
      </w:r>
      <w:r w:rsidR="004A2262">
        <w:tab/>
        <w:t>(3.8)</w:t>
      </w:r>
    </w:p>
    <w:p w14:paraId="57AB45C5" w14:textId="77777777" w:rsidR="00031310" w:rsidRDefault="00EA4C4E" w:rsidP="002969DD">
      <w:pPr>
        <w:pStyle w:val="FirstParagraph"/>
        <w:spacing w:before="120" w:after="120"/>
        <w:jc w:val="both"/>
      </w:pPr>
      <w:r>
        <w:t xml:space="preserve">After Fisher et al. (2008), we calculate </w:t>
      </w:r>
      <w:r>
        <w:rPr>
          <w:b/>
        </w:rPr>
        <w:t xml:space="preserve">the fraction of the land surface that is saturated, </w:t>
      </w:r>
      <m:oMath>
        <m:sSub>
          <m:sSubPr>
            <m:ctrlPr>
              <w:rPr>
                <w:rFonts w:ascii="Cambria Math" w:hAnsi="Cambria Math"/>
              </w:rPr>
            </m:ctrlPr>
          </m:sSubPr>
          <m:e>
            <m:r>
              <w:rPr>
                <w:rFonts w:ascii="Cambria Math" w:hAnsi="Cambria Math"/>
              </w:rPr>
              <m:t>F</m:t>
            </m:r>
          </m:e>
          <m:sub>
            <m:r>
              <m:rPr>
                <m:lit/>
                <m:nor/>
              </m:rPr>
              <w:rPr>
                <w:rFonts w:ascii="Cambria Math" w:hAnsi="Cambria Math"/>
              </w:rPr>
              <m:t>wet</m:t>
            </m:r>
          </m:sub>
        </m:sSub>
      </m:oMath>
      <w:r>
        <w:rPr>
          <w:b/>
        </w:rPr>
        <w:t>,</w:t>
      </w:r>
      <w:r>
        <w:t xml:space="preserve"> based on the relative humidity:</w:t>
      </w:r>
    </w:p>
    <w:p w14:paraId="60A07C8B" w14:textId="4AB3C50C" w:rsidR="00031310" w:rsidRDefault="00000000" w:rsidP="002969DD">
      <w:pPr>
        <w:pStyle w:val="BodyText"/>
        <w:jc w:val="both"/>
      </w:pPr>
      <m:oMath>
        <m:sSub>
          <m:sSubPr>
            <m:ctrlPr>
              <w:rPr>
                <w:rFonts w:ascii="Cambria Math" w:hAnsi="Cambria Math"/>
              </w:rPr>
            </m:ctrlPr>
          </m:sSubPr>
          <m:e>
            <m:r>
              <w:rPr>
                <w:rFonts w:ascii="Cambria Math" w:hAnsi="Cambria Math"/>
              </w:rPr>
              <m:t>F</m:t>
            </m:r>
          </m:e>
          <m:sub>
            <m:r>
              <m:rPr>
                <m:lit/>
                <m:nor/>
              </m:rPr>
              <w:rPr>
                <w:rFonts w:ascii="Cambria Math" w:hAnsi="Cambria Math"/>
              </w:rPr>
              <m:t>wet</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m:rPr>
                      <m:lit/>
                      <m:nor/>
                    </m:rPr>
                    <w:rPr>
                      <w:rFonts w:ascii="Cambria Math" w:hAnsi="Cambria Math"/>
                    </w:rPr>
                    <m:t>if RH</m:t>
                  </m:r>
                  <m:r>
                    <w:rPr>
                      <w:rFonts w:ascii="Cambria Math" w:hAnsi="Cambria Math"/>
                    </w:rPr>
                    <m:t>&lt;70</m:t>
                  </m:r>
                  <m:r>
                    <m:rPr>
                      <m:lit/>
                      <m:nor/>
                    </m:rPr>
                    <w:rPr>
                      <w:rFonts w:ascii="Cambria Math" w:hAnsi="Cambria Math"/>
                    </w:rPr>
                    <m:t>%</m:t>
                  </m:r>
                </m:e>
              </m:mr>
              <m:mr>
                <m:e>
                  <m:sSup>
                    <m:sSupPr>
                      <m:ctrlPr>
                        <w:rPr>
                          <w:rFonts w:ascii="Cambria Math" w:hAnsi="Cambria Math"/>
                        </w:rPr>
                      </m:ctrlPr>
                    </m:sSupPr>
                    <m:e>
                      <m:r>
                        <m:rPr>
                          <m:nor/>
                        </m:rPr>
                        <w:rPr>
                          <w:rFonts w:ascii="Cambria Math" w:hAnsi="Cambria Math"/>
                        </w:rPr>
                        <m:t>(</m:t>
                      </m:r>
                      <m:r>
                        <m:rPr>
                          <m:lit/>
                          <m:nor/>
                        </m:rPr>
                        <w:rPr>
                          <w:rFonts w:ascii="Cambria Math" w:hAnsi="Cambria Math"/>
                        </w:rPr>
                        <m:t>RH</m:t>
                      </m:r>
                      <m:r>
                        <m:rPr>
                          <m:nor/>
                        </m:rPr>
                        <w:rPr>
                          <w:rFonts w:ascii="Cambria Math" w:hAnsi="Cambria Math"/>
                        </w:rPr>
                        <m:t>/100)</m:t>
                      </m:r>
                    </m:e>
                    <m:sup>
                      <m:r>
                        <w:rPr>
                          <w:rFonts w:ascii="Cambria Math" w:hAnsi="Cambria Math"/>
                        </w:rPr>
                        <m:t>4</m:t>
                      </m:r>
                    </m:sup>
                  </m:sSup>
                </m:e>
                <m:e>
                  <m:r>
                    <m:rPr>
                      <m:lit/>
                      <m:nor/>
                    </m:rPr>
                    <w:rPr>
                      <w:rFonts w:ascii="Cambria Math" w:hAnsi="Cambria Math"/>
                    </w:rPr>
                    <m:t>otherwise</m:t>
                  </m:r>
                </m:e>
              </m:mr>
            </m:m>
          </m:e>
        </m:d>
      </m:oMath>
      <w:r w:rsidR="00EA4C4E">
        <w:tab/>
      </w:r>
      <w:r w:rsidR="006D3072">
        <w:tab/>
      </w:r>
      <w:r w:rsidR="006D3072">
        <w:tab/>
      </w:r>
      <w:r w:rsidR="006D3072">
        <w:tab/>
      </w:r>
      <w:r w:rsidR="000D2F96">
        <w:t xml:space="preserve">                        (</w:t>
      </w:r>
      <w:r w:rsidR="004A2262">
        <w:t>3.9</w:t>
      </w:r>
      <w:r w:rsidR="000D2F96">
        <w:t>)</w:t>
      </w:r>
    </w:p>
    <w:p w14:paraId="07D6C282" w14:textId="5C145D77" w:rsidR="00031310" w:rsidRDefault="00EA4C4E" w:rsidP="002969DD">
      <w:pPr>
        <w:pStyle w:val="FirstParagraph"/>
        <w:spacing w:before="120" w:after="120"/>
        <w:jc w:val="both"/>
      </w:pPr>
      <w:r>
        <w:rPr>
          <w:b/>
        </w:rPr>
        <w:lastRenderedPageBreak/>
        <w:t xml:space="preserve">The latent heat of vaporization, </w:t>
      </w:r>
      <m:oMath>
        <m:r>
          <w:rPr>
            <w:rFonts w:ascii="Cambria Math" w:hAnsi="Cambria Math"/>
          </w:rPr>
          <m:t>λ</m:t>
        </m:r>
      </m:oMath>
      <w:r>
        <w:rPr>
          <w:b/>
        </w:rPr>
        <w:t>,</w:t>
      </w:r>
      <w:r>
        <w:t xml:space="preserve"> (units: Joules per kilogram) is a key term that quantifies the amount of energy required to vaporize a kilogram of water, based on the current temperature</w:t>
      </w:r>
      <w:r w:rsidR="001966D1">
        <w:t xml:space="preserve"> (units: Kelvin)</w:t>
      </w:r>
      <w:r>
        <w:t xml:space="preserve"> of the water:</w:t>
      </w:r>
    </w:p>
    <w:p w14:paraId="54F098D1" w14:textId="2DE07B16" w:rsidR="00031310" w:rsidRDefault="00EA4C4E" w:rsidP="002969DD">
      <w:pPr>
        <w:pStyle w:val="BodyText"/>
        <w:jc w:val="both"/>
      </w:pPr>
      <m:oMath>
        <m:r>
          <w:rPr>
            <w:rFonts w:ascii="Cambria Math" w:hAnsi="Cambria Math"/>
          </w:rPr>
          <m:t>λ</m:t>
        </m:r>
        <m:d>
          <m:dPr>
            <m:ctrlPr>
              <w:rPr>
                <w:rFonts w:ascii="Cambria Math" w:hAnsi="Cambria Math"/>
              </w:rPr>
            </m:ctrlPr>
          </m:dPr>
          <m:e>
            <m:r>
              <w:rPr>
                <w:rFonts w:ascii="Cambria Math" w:hAnsi="Cambria Math"/>
              </w:rPr>
              <m:t>T</m:t>
            </m:r>
          </m:e>
        </m:d>
        <m:r>
          <w:rPr>
            <w:rFonts w:ascii="Cambria Math" w:hAnsi="Cambria Math"/>
          </w:rPr>
          <m:t>=</m:t>
        </m:r>
        <m:d>
          <m:dPr>
            <m:ctrlPr>
              <w:rPr>
                <w:rFonts w:ascii="Cambria Math" w:hAnsi="Cambria Math"/>
              </w:rPr>
            </m:ctrlPr>
          </m:dPr>
          <m:e>
            <m:r>
              <w:rPr>
                <w:rFonts w:ascii="Cambria Math" w:hAnsi="Cambria Math"/>
              </w:rPr>
              <m:t>2.501-0.002361×</m:t>
            </m:r>
            <m:d>
              <m:dPr>
                <m:ctrlPr>
                  <w:rPr>
                    <w:rFonts w:ascii="Cambria Math" w:hAnsi="Cambria Math"/>
                  </w:rPr>
                </m:ctrlPr>
              </m:dPr>
              <m:e>
                <m:r>
                  <w:rPr>
                    <w:rFonts w:ascii="Cambria Math" w:hAnsi="Cambria Math"/>
                  </w:rPr>
                  <m:t>T-273.15</m:t>
                </m:r>
              </m:e>
            </m:d>
          </m:e>
        </m:d>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6</m:t>
            </m:r>
          </m:sup>
        </m:sSup>
      </m:oMath>
      <w:r>
        <w:tab/>
      </w:r>
      <w:r>
        <w:tab/>
      </w:r>
      <w:r w:rsidR="006D3072">
        <w:tab/>
      </w:r>
      <w:r w:rsidR="006D3072">
        <w:tab/>
      </w:r>
      <w:r>
        <w:t>(</w:t>
      </w:r>
      <w:r w:rsidR="004A2262">
        <w:t>3.10</w:t>
      </w:r>
      <w:r>
        <w:t>)</w:t>
      </w:r>
    </w:p>
    <w:p w14:paraId="2D236E7B" w14:textId="77777777" w:rsidR="00031310" w:rsidRDefault="00EA4C4E" w:rsidP="002969DD">
      <w:pPr>
        <w:pStyle w:val="FirstParagraph"/>
        <w:spacing w:before="120" w:after="120"/>
        <w:jc w:val="both"/>
      </w:pPr>
      <w:r>
        <w:rPr>
          <w:b/>
        </w:rPr>
        <w:t>The psychrometric constant,</w:t>
      </w:r>
      <w:r>
        <w:t xml:space="preserve"> which relates the vapor pressure of air to its temperature, is calculated</w:t>
      </w:r>
      <w:r w:rsidR="006D3072">
        <w:t xml:space="preserve"> as</w:t>
      </w:r>
      <w:r>
        <w:t>:</w:t>
      </w:r>
    </w:p>
    <w:p w14:paraId="43523562" w14:textId="57B99B7D" w:rsidR="00031310" w:rsidRDefault="00EA4C4E" w:rsidP="002969DD">
      <w:pPr>
        <w:pStyle w:val="BodyText"/>
        <w:jc w:val="both"/>
      </w:pPr>
      <m:oMath>
        <m:r>
          <w:rPr>
            <w:rFonts w:ascii="Cambria Math" w:hAnsi="Cambria Math"/>
          </w:rPr>
          <m:t>γ=</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m:t>
                </m:r>
              </m:sub>
            </m:sSub>
            <m:r>
              <w:rPr>
                <w:rFonts w:ascii="Cambria Math" w:hAnsi="Cambria Math"/>
              </w:rPr>
              <m:t>×P</m:t>
            </m:r>
          </m:num>
          <m:den>
            <m:r>
              <w:rPr>
                <w:rFonts w:ascii="Cambria Math" w:hAnsi="Cambria Math"/>
              </w:rPr>
              <m:t>λ×0.622</m:t>
            </m:r>
          </m:den>
        </m:f>
      </m:oMath>
      <w:r w:rsidR="004A2262">
        <w:tab/>
      </w:r>
      <w:r w:rsidR="004A2262">
        <w:tab/>
      </w:r>
      <w:r w:rsidR="004A2262">
        <w:tab/>
      </w:r>
      <w:r w:rsidR="004A2262">
        <w:tab/>
      </w:r>
      <w:r w:rsidR="004A2262">
        <w:tab/>
      </w:r>
      <w:r w:rsidR="004A2262">
        <w:tab/>
      </w:r>
      <w:r w:rsidR="004A2262">
        <w:tab/>
      </w:r>
      <w:r w:rsidR="004A2262">
        <w:tab/>
      </w:r>
      <w:r w:rsidR="004A2262">
        <w:tab/>
        <w:t>(3.11)</w:t>
      </w:r>
    </w:p>
    <w:p w14:paraId="43D6BC21" w14:textId="78589F3B" w:rsidR="00031310" w:rsidRDefault="00EA4C4E" w:rsidP="002969DD">
      <w:pPr>
        <w:pStyle w:val="FirstParagraph"/>
        <w:spacing w:before="120"/>
        <w:jc w:val="both"/>
      </w:pPr>
      <w:r>
        <w:t>This is</w:t>
      </w:r>
      <w:r w:rsidR="00CB453C">
        <w:t xml:space="preserve"> </w:t>
      </w:r>
      <w:r>
        <w:t xml:space="preserve">described by Maidment (1969). </w:t>
      </w:r>
      <m:oMath>
        <m:sSub>
          <m:sSubPr>
            <m:ctrlPr>
              <w:rPr>
                <w:rFonts w:ascii="Cambria Math" w:hAnsi="Cambria Math"/>
              </w:rPr>
            </m:ctrlPr>
          </m:sSubPr>
          <m:e>
            <m:r>
              <w:rPr>
                <w:rFonts w:ascii="Cambria Math" w:hAnsi="Cambria Math"/>
              </w:rPr>
              <m:t>C</m:t>
            </m:r>
          </m:e>
          <m:sub>
            <m:r>
              <w:rPr>
                <w:rFonts w:ascii="Cambria Math" w:hAnsi="Cambria Math"/>
              </w:rPr>
              <m:t>p</m:t>
            </m:r>
          </m:sub>
        </m:sSub>
        <m:r>
          <w:rPr>
            <w:rFonts w:ascii="Cambria Math" w:hAnsi="Cambria Math"/>
          </w:rPr>
          <m:t>=1013</m:t>
        </m:r>
      </m:oMath>
      <w:r>
        <w:t xml:space="preserve"> (J per kilogram per Kelvin) is the specific heat capacity of air, P is the air pressure, and 0.622 is the ratio of molecular weights, water vapor to dry air. Values for </w:t>
      </w:r>
      <m:oMath>
        <m:sSub>
          <m:sSubPr>
            <m:ctrlPr>
              <w:rPr>
                <w:rFonts w:ascii="Cambria Math" w:hAnsi="Cambria Math"/>
              </w:rPr>
            </m:ctrlPr>
          </m:sSubPr>
          <m:e>
            <m:r>
              <w:rPr>
                <w:rFonts w:ascii="Cambria Math" w:hAnsi="Cambria Math"/>
              </w:rPr>
              <m:t>C</m:t>
            </m:r>
          </m:e>
          <m:sub>
            <m:r>
              <w:rPr>
                <w:rFonts w:ascii="Cambria Math" w:hAnsi="Cambria Math"/>
              </w:rPr>
              <m:t>p</m:t>
            </m:r>
          </m:sub>
        </m:sSub>
      </m:oMath>
      <w:r>
        <w:t xml:space="preserve"> and water vapor-dry air ratio are taken from Monteith &amp; Unswoth (20</w:t>
      </w:r>
      <w:r w:rsidR="006B461A">
        <w:t>13</w:t>
      </w:r>
      <w:r>
        <w:t>).</w:t>
      </w:r>
    </w:p>
    <w:p w14:paraId="1FFC1B6D" w14:textId="3EDC97CA" w:rsidR="00031310" w:rsidRDefault="00EA4C4E" w:rsidP="002969DD">
      <w:pPr>
        <w:pStyle w:val="BodyText"/>
        <w:spacing w:before="120" w:after="120"/>
        <w:ind w:firstLine="432"/>
        <w:jc w:val="both"/>
      </w:pPr>
      <w:r>
        <w:rPr>
          <w:b/>
        </w:rPr>
        <w:t>The slope of the saturation vapor pressure curve,</w:t>
      </w:r>
      <w:r>
        <w:t xml:space="preserve"> </w:t>
      </w:r>
      <m:oMath>
        <m:r>
          <w:rPr>
            <w:rFonts w:ascii="Cambria Math" w:hAnsi="Cambria Math"/>
          </w:rPr>
          <m:t>s</m:t>
        </m:r>
      </m:oMath>
      <w:r>
        <w:t xml:space="preserve"> (units: Pa per degree K), which describes the </w:t>
      </w:r>
      <w:r w:rsidR="00E11341">
        <w:t xml:space="preserve">derivative form of SVP to </w:t>
      </w:r>
      <w:r>
        <w:t>temperature</w:t>
      </w:r>
      <w:r w:rsidR="00610263">
        <w:t xml:space="preserve"> </w:t>
      </w:r>
      <w:r w:rsidR="00E11341">
        <w:t xml:space="preserve">and </w:t>
      </w:r>
      <w:r w:rsidR="00610263">
        <w:t xml:space="preserve">is </w:t>
      </w:r>
      <w:r>
        <w:t>determined:</w:t>
      </w:r>
    </w:p>
    <w:p w14:paraId="25B4EB7B" w14:textId="347EA47E" w:rsidR="00031310" w:rsidRDefault="00EA4C4E" w:rsidP="002969DD">
      <w:pPr>
        <w:pStyle w:val="BodyText"/>
        <w:jc w:val="both"/>
      </w:pPr>
      <m:oMath>
        <m:r>
          <w:rPr>
            <w:rFonts w:ascii="Cambria Math" w:hAnsi="Cambria Math"/>
          </w:rPr>
          <m:t>s=</m:t>
        </m:r>
        <m:f>
          <m:fPr>
            <m:ctrlPr>
              <w:rPr>
                <w:rFonts w:ascii="Cambria Math" w:hAnsi="Cambria Math"/>
              </w:rPr>
            </m:ctrlPr>
          </m:fPr>
          <m:num>
            <m:r>
              <w:rPr>
                <w:rFonts w:ascii="Cambria Math" w:hAnsi="Cambria Math"/>
              </w:rPr>
              <m:t>17.38×239×</m:t>
            </m:r>
            <m:r>
              <m:rPr>
                <m:lit/>
                <m:nor/>
              </m:rPr>
              <w:rPr>
                <w:rFonts w:ascii="Cambria Math" w:hAnsi="Cambria Math"/>
              </w:rPr>
              <m:t>SVP</m:t>
            </m:r>
          </m:num>
          <m:den>
            <m:sSup>
              <m:sSupPr>
                <m:ctrlPr>
                  <w:rPr>
                    <w:rFonts w:ascii="Cambria Math" w:hAnsi="Cambria Math"/>
                  </w:rPr>
                </m:ctrlPr>
              </m:sSupPr>
              <m:e>
                <m:d>
                  <m:dPr>
                    <m:ctrlPr>
                      <w:rPr>
                        <w:rFonts w:ascii="Cambria Math" w:hAnsi="Cambria Math"/>
                      </w:rPr>
                    </m:ctrlPr>
                  </m:dPr>
                  <m:e>
                    <m:r>
                      <w:rPr>
                        <w:rFonts w:ascii="Cambria Math" w:hAnsi="Cambria Math"/>
                      </w:rPr>
                      <m:t>239+</m:t>
                    </m:r>
                    <m:d>
                      <m:dPr>
                        <m:ctrlPr>
                          <w:rPr>
                            <w:rFonts w:ascii="Cambria Math" w:hAnsi="Cambria Math"/>
                          </w:rPr>
                        </m:ctrlPr>
                      </m:dPr>
                      <m:e>
                        <m:r>
                          <w:rPr>
                            <w:rFonts w:ascii="Cambria Math" w:hAnsi="Cambria Math"/>
                          </w:rPr>
                          <m:t>T-273.15</m:t>
                        </m:r>
                      </m:e>
                    </m:d>
                  </m:e>
                </m:d>
              </m:e>
              <m:sup>
                <m:r>
                  <w:rPr>
                    <w:rFonts w:ascii="Cambria Math" w:hAnsi="Cambria Math"/>
                  </w:rPr>
                  <m:t>2</m:t>
                </m:r>
              </m:sup>
            </m:sSup>
          </m:den>
        </m:f>
      </m:oMath>
      <w:r w:rsidR="004A2262">
        <w:tab/>
      </w:r>
      <w:r w:rsidR="004A2262">
        <w:tab/>
      </w:r>
      <w:r w:rsidR="004A2262">
        <w:tab/>
      </w:r>
      <w:r w:rsidR="004A2262">
        <w:tab/>
      </w:r>
      <w:r w:rsidR="004A2262">
        <w:tab/>
      </w:r>
      <w:r w:rsidR="004A2262">
        <w:tab/>
      </w:r>
      <w:r w:rsidR="004A2262">
        <w:tab/>
      </w:r>
      <w:r w:rsidR="004A2262">
        <w:tab/>
        <w:t>(3.12)</w:t>
      </w:r>
    </w:p>
    <w:p w14:paraId="1AC25C7A" w14:textId="77777777" w:rsidR="00031310" w:rsidRDefault="00EA4C4E" w:rsidP="002969DD">
      <w:pPr>
        <w:pStyle w:val="BodyText"/>
        <w:spacing w:after="120"/>
        <w:ind w:firstLine="432"/>
        <w:jc w:val="both"/>
      </w:pPr>
      <w:r>
        <w:rPr>
          <w:b/>
        </w:rPr>
        <w:t>Air density</w:t>
      </w:r>
      <w:r>
        <w:t xml:space="preserve"> must also be calculated; we use the NIST simplified air density formula with buoyancy correction (NPL 2021):</w:t>
      </w:r>
    </w:p>
    <w:p w14:paraId="2D62707D" w14:textId="17427BD1" w:rsidR="00031310" w:rsidRDefault="00EA4C4E" w:rsidP="002969DD">
      <w:pPr>
        <w:pStyle w:val="BodyText"/>
        <w:jc w:val="both"/>
      </w:pPr>
      <m:oMath>
        <m:r>
          <w:rPr>
            <w:rFonts w:ascii="Cambria Math" w:hAnsi="Cambria Math"/>
          </w:rPr>
          <m:t>ρ=</m:t>
        </m:r>
        <m:f>
          <m:fPr>
            <m:ctrlPr>
              <w:rPr>
                <w:rFonts w:ascii="Cambria Math" w:hAnsi="Cambria Math"/>
              </w:rPr>
            </m:ctrlPr>
          </m:fPr>
          <m:num>
            <m:d>
              <m:dPr>
                <m:ctrlPr>
                  <w:rPr>
                    <w:rFonts w:ascii="Cambria Math" w:hAnsi="Cambria Math"/>
                  </w:rPr>
                </m:ctrlPr>
              </m:dPr>
              <m:e>
                <m:r>
                  <w:rPr>
                    <w:rFonts w:ascii="Cambria Math" w:hAnsi="Cambria Math"/>
                  </w:rPr>
                  <m:t>0.34844×P</m:t>
                </m:r>
              </m:e>
            </m:d>
            <m:r>
              <w:rPr>
                <w:rFonts w:ascii="Cambria Math" w:hAnsi="Cambria Math"/>
              </w:rPr>
              <m:t>-</m:t>
            </m:r>
            <m:sSub>
              <m:sSubPr>
                <m:ctrlPr>
                  <w:rPr>
                    <w:rFonts w:ascii="Cambria Math" w:hAnsi="Cambria Math"/>
                  </w:rPr>
                </m:ctrlPr>
              </m:sSubPr>
              <m:e>
                <m:r>
                  <m:rPr>
                    <m:lit/>
                    <m:nor/>
                  </m:rPr>
                  <w:rPr>
                    <w:rFonts w:ascii="Cambria Math" w:hAnsi="Cambria Math"/>
                  </w:rPr>
                  <m:t>RH</m:t>
                </m:r>
              </m:e>
              <m:sub>
                <m:r>
                  <m:rPr>
                    <m:lit/>
                    <m:nor/>
                  </m:rPr>
                  <w:rPr>
                    <w:rFonts w:ascii="Cambria Math" w:hAnsi="Cambria Math"/>
                  </w:rPr>
                  <m:t>%</m:t>
                </m:r>
              </m:sub>
            </m:sSub>
            <m:d>
              <m:dPr>
                <m:ctrlPr>
                  <w:rPr>
                    <w:rFonts w:ascii="Cambria Math" w:hAnsi="Cambria Math"/>
                  </w:rPr>
                </m:ctrlPr>
              </m:dPr>
              <m:e>
                <m:r>
                  <w:rPr>
                    <w:rFonts w:ascii="Cambria Math" w:hAnsi="Cambria Math"/>
                  </w:rPr>
                  <m:t>0.00252×</m:t>
                </m:r>
                <m:d>
                  <m:dPr>
                    <m:ctrlPr>
                      <w:rPr>
                        <w:rFonts w:ascii="Cambria Math" w:hAnsi="Cambria Math"/>
                      </w:rPr>
                    </m:ctrlPr>
                  </m:dPr>
                  <m:e>
                    <m:r>
                      <w:rPr>
                        <w:rFonts w:ascii="Cambria Math" w:hAnsi="Cambria Math"/>
                      </w:rPr>
                      <m:t>T-273.15</m:t>
                    </m:r>
                  </m:e>
                </m:d>
              </m:e>
            </m:d>
            <m:r>
              <w:rPr>
                <w:rFonts w:ascii="Cambria Math" w:hAnsi="Cambria Math"/>
              </w:rPr>
              <m:t>-0.020582</m:t>
            </m:r>
          </m:num>
          <m:den>
            <m:r>
              <w:rPr>
                <w:rFonts w:ascii="Cambria Math" w:hAnsi="Cambria Math"/>
              </w:rPr>
              <m:t>T</m:t>
            </m:r>
          </m:den>
        </m:f>
      </m:oMath>
      <w:r w:rsidR="004A2262">
        <w:tab/>
      </w:r>
      <w:r w:rsidR="004A2262">
        <w:tab/>
      </w:r>
      <w:r w:rsidR="004A2262">
        <w:tab/>
      </w:r>
      <w:r w:rsidR="004A2262">
        <w:tab/>
        <w:t>(3.13)</w:t>
      </w:r>
    </w:p>
    <w:p w14:paraId="34823FC8" w14:textId="70DE18BF" w:rsidR="00031310" w:rsidRDefault="00EA4C4E" w:rsidP="002969DD">
      <w:pPr>
        <w:pStyle w:val="FirstParagraph"/>
        <w:jc w:val="both"/>
      </w:pPr>
      <w:r>
        <w:t xml:space="preserve">Where </w:t>
      </w:r>
      <m:oMath>
        <m:r>
          <w:rPr>
            <w:rFonts w:ascii="Cambria Math" w:hAnsi="Cambria Math"/>
          </w:rPr>
          <m:t>P</m:t>
        </m:r>
      </m:oMath>
      <w:r>
        <w:t xml:space="preserve"> is air pressure in millibars</w:t>
      </w:r>
      <w:r w:rsidR="00E11341">
        <w:t xml:space="preserve"> or </w:t>
      </w:r>
      <w:proofErr w:type="spellStart"/>
      <w:r w:rsidR="00E11341">
        <w:t>hPa</w:t>
      </w:r>
      <w:proofErr w:type="spellEnd"/>
      <w:r>
        <w:t xml:space="preserve">; RH (Equation </w:t>
      </w:r>
      <w:r w:rsidR="00F42516">
        <w:t>3.8</w:t>
      </w:r>
      <w:r>
        <w:t>) should be expressed in percentage terms</w:t>
      </w:r>
      <w:r w:rsidR="00E11341">
        <w:t xml:space="preserve"> (0 ~ 100)</w:t>
      </w:r>
      <w:r>
        <w:t>.</w:t>
      </w:r>
    </w:p>
    <w:p w14:paraId="335FA93E" w14:textId="314A727F" w:rsidR="00E11341" w:rsidRDefault="00E11341" w:rsidP="001160FE">
      <w:pPr>
        <w:pStyle w:val="BodyText"/>
        <w:spacing w:before="120" w:after="120"/>
        <w:ind w:firstLine="432"/>
        <w:jc w:val="both"/>
      </w:pPr>
      <w:r w:rsidRPr="000D2F96">
        <w:t xml:space="preserve">Users should note that </w:t>
      </w:r>
      <w:r w:rsidR="001E6224" w:rsidRPr="000D2F96">
        <w:t xml:space="preserve">the only place to use surface air pressure from coarse resolution global meteorological data GMAO/NASA is for calculation of AVP above. Except that, air pressure (in Pa) in the ET algorithm </w:t>
      </w:r>
      <w:r w:rsidRPr="000D2F96">
        <w:t xml:space="preserve">is derived from 500m </w:t>
      </w:r>
      <w:r w:rsidR="001E6224" w:rsidRPr="000D2F96">
        <w:t xml:space="preserve">SRTM </w:t>
      </w:r>
      <w:r w:rsidRPr="000D2F96">
        <w:t xml:space="preserve">elevation based on an equation for standard atmosphere (P168 in </w:t>
      </w:r>
      <w:proofErr w:type="spellStart"/>
      <w:r w:rsidRPr="000D2F96">
        <w:t>Iribane</w:t>
      </w:r>
      <w:proofErr w:type="spellEnd"/>
      <w:r w:rsidRPr="000D2F96">
        <w:t xml:space="preserve"> and Godson, 1981)</w:t>
      </w:r>
      <w:r w:rsidR="001E6224" w:rsidRPr="000D2F96">
        <w:t>,</w:t>
      </w:r>
      <w:r w:rsidRPr="000D2F96">
        <w:t xml:space="preserve"> </w:t>
      </w:r>
      <w:r w:rsidR="001E6224" w:rsidRPr="000D2F96">
        <w:t>and</w:t>
      </w:r>
      <w:r w:rsidR="001E6224">
        <w:t xml:space="preserve"> </w:t>
      </w:r>
      <w:r>
        <w:t>MOD16 and VNP16 calculate</w:t>
      </w:r>
      <w:r w:rsidR="001E6224">
        <w:t>s</w:t>
      </w:r>
      <w:r>
        <w:t xml:space="preserve"> air pressure (in Pa) as a function of elevation:</w:t>
      </w:r>
    </w:p>
    <w:p w14:paraId="35E8FA1B" w14:textId="40BA3ED8" w:rsidR="00031310" w:rsidRDefault="00000000" w:rsidP="00AD0E5A">
      <w:pPr>
        <w:pStyle w:val="BodyText"/>
        <w:jc w:val="both"/>
      </w:pPr>
      <m:oMath>
        <m:sSub>
          <m:sSubPr>
            <m:ctrlPr>
              <w:rPr>
                <w:rFonts w:ascii="Cambria Math" w:hAnsi="Cambria Math"/>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m:rPr>
                <m:lit/>
                <m:nor/>
              </m:rPr>
              <w:rPr>
                <w:rFonts w:ascii="Cambria Math" w:hAnsi="Cambria Math"/>
              </w:rPr>
              <m:t>std</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f>
                  <m:fPr>
                    <m:ctrlPr>
                      <w:rPr>
                        <w:rFonts w:ascii="Cambria Math" w:hAnsi="Cambria Math"/>
                      </w:rPr>
                    </m:ctrlPr>
                  </m:fPr>
                  <m:num>
                    <m:r>
                      <m:rPr>
                        <m:scr m:val="script"/>
                      </m:rPr>
                      <w:rPr>
                        <w:rFonts w:ascii="Cambria Math" w:hAnsi="Cambria Math"/>
                      </w:rPr>
                      <m:t>l</m:t>
                    </m:r>
                    <m:r>
                      <w:rPr>
                        <w:rFonts w:ascii="Cambria Math" w:hAnsi="Cambria Math"/>
                      </w:rPr>
                      <m:t>z</m:t>
                    </m:r>
                  </m:num>
                  <m:den>
                    <m:sSub>
                      <m:sSubPr>
                        <m:ctrlPr>
                          <w:rPr>
                            <w:rFonts w:ascii="Cambria Math" w:hAnsi="Cambria Math"/>
                          </w:rPr>
                        </m:ctrlPr>
                      </m:sSubPr>
                      <m:e>
                        <m:r>
                          <w:rPr>
                            <w:rFonts w:ascii="Cambria Math" w:hAnsi="Cambria Math"/>
                          </w:rPr>
                          <m:t>T</m:t>
                        </m:r>
                      </m:e>
                      <m:sub>
                        <m:r>
                          <m:rPr>
                            <m:lit/>
                            <m:nor/>
                          </m:rPr>
                          <w:rPr>
                            <w:rFonts w:ascii="Cambria Math" w:hAnsi="Cambria Math"/>
                          </w:rPr>
                          <m:t>std</m:t>
                        </m:r>
                      </m:sub>
                    </m:sSub>
                  </m:den>
                </m:f>
              </m:e>
            </m:d>
          </m:e>
          <m:sup>
            <m:r>
              <w:rPr>
                <w:rFonts w:ascii="Cambria Math" w:hAnsi="Cambria Math"/>
              </w:rPr>
              <m:t>5.256</m:t>
            </m:r>
          </m:sup>
        </m:sSup>
      </m:oMath>
      <w:r w:rsidR="004A2262">
        <w:tab/>
      </w:r>
      <w:r w:rsidR="004A2262">
        <w:tab/>
      </w:r>
      <w:r w:rsidR="004A2262">
        <w:tab/>
      </w:r>
      <w:r w:rsidR="004A2262">
        <w:tab/>
      </w:r>
      <w:r w:rsidR="004A2262">
        <w:tab/>
      </w:r>
      <w:r w:rsidR="004A2262">
        <w:tab/>
      </w:r>
      <w:r w:rsidR="004A2262">
        <w:tab/>
        <w:t>(3.14)</w:t>
      </w:r>
    </w:p>
    <w:p w14:paraId="5E5DE72C" w14:textId="478CCFC0" w:rsidR="001E6224" w:rsidRDefault="00467B0A" w:rsidP="00AD0E5A">
      <w:pPr>
        <w:pStyle w:val="FirstParagraph"/>
        <w:spacing w:before="120"/>
        <w:jc w:val="both"/>
      </w:pPr>
      <w:r>
        <w:t xml:space="preserve">where </w:t>
      </w:r>
      <m:oMath>
        <m:r>
          <m:rPr>
            <m:scr m:val="script"/>
          </m:rPr>
          <w:rPr>
            <w:rFonts w:ascii="Cambria Math" w:hAnsi="Cambria Math"/>
          </w:rPr>
          <m:t>l</m:t>
        </m:r>
      </m:oMath>
      <w:r w:rsidR="00EA4C4E">
        <w:t xml:space="preserve"> is the standard temperature lapse rate (-0.0065 deg K per meter), </w:t>
      </w:r>
      <m:oMath>
        <m:r>
          <w:rPr>
            <w:rFonts w:ascii="Cambria Math" w:hAnsi="Cambria Math"/>
          </w:rPr>
          <m:t>z</m:t>
        </m:r>
      </m:oMath>
      <w:r w:rsidR="00EA4C4E">
        <w:t xml:space="preserve"> is the elevation in meters</w:t>
      </w:r>
      <w:r w:rsidR="00757624">
        <w:t>;</w:t>
      </w:r>
      <w:r w:rsidR="00EA4C4E">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std</m:t>
            </m:r>
          </m:sub>
        </m:sSub>
      </m:oMath>
      <w:r w:rsidR="00EA4C4E">
        <w:t xml:space="preserve"> </w:t>
      </w:r>
      <w:r w:rsidR="00757624">
        <w:t xml:space="preserve">and </w:t>
      </w:r>
      <m:oMath>
        <m:sSub>
          <m:sSubPr>
            <m:ctrlPr>
              <w:rPr>
                <w:rFonts w:ascii="Cambria Math" w:hAnsi="Cambria Math"/>
              </w:rPr>
            </m:ctrlPr>
          </m:sSubPr>
          <m:e>
            <m:r>
              <w:rPr>
                <w:rFonts w:ascii="Cambria Math" w:hAnsi="Cambria Math"/>
              </w:rPr>
              <m:t>T</m:t>
            </m:r>
          </m:e>
          <m:sub>
            <m:r>
              <m:rPr>
                <m:lit/>
                <m:nor/>
              </m:rPr>
              <w:rPr>
                <w:rFonts w:ascii="Cambria Math" w:hAnsi="Cambria Math"/>
              </w:rPr>
              <m:t>std</m:t>
            </m:r>
          </m:sub>
        </m:sSub>
      </m:oMath>
      <w:r w:rsidR="00EA4C4E">
        <w:t xml:space="preserve"> are the standard pressure (101325 Pa) and temperature (288.15 deg K) at sea level</w:t>
      </w:r>
      <w:r w:rsidR="00757624">
        <w:t>, respectively</w:t>
      </w:r>
      <w:r w:rsidR="00EA4C4E">
        <w:t xml:space="preserve">. The exponent 5.256 is a pre-determined quantity based on physical constants and derived from the discussion on atmospheric statics in </w:t>
      </w:r>
      <w:proofErr w:type="spellStart"/>
      <w:r w:rsidR="00EA4C4E">
        <w:t>Iribane</w:t>
      </w:r>
      <w:proofErr w:type="spellEnd"/>
      <w:r w:rsidR="00EA4C4E">
        <w:t xml:space="preserve"> &amp; Godson (1981).</w:t>
      </w:r>
      <w:r w:rsidR="001E6224">
        <w:t xml:space="preserve">  The original formular in </w:t>
      </w:r>
      <w:proofErr w:type="spellStart"/>
      <w:r w:rsidR="001E6224">
        <w:t>Iribane</w:t>
      </w:r>
      <w:proofErr w:type="spellEnd"/>
      <w:r w:rsidR="001E6224">
        <w:t xml:space="preserve"> &amp; Godson (1981) is below.</w:t>
      </w:r>
    </w:p>
    <w:p w14:paraId="7EA3D0AC" w14:textId="09A61500" w:rsidR="001E6224" w:rsidRPr="00EC39B6" w:rsidRDefault="001E6224" w:rsidP="00F00784">
      <w:pPr>
        <w:pStyle w:val="FirstParagraph"/>
        <w:spacing w:before="120"/>
        <w:ind w:firstLine="720"/>
        <w:jc w:val="both"/>
      </w:pPr>
      <m:oMath>
        <m:r>
          <w:rPr>
            <w:rFonts w:ascii="Cambria Math" w:hAnsi="Cambria Math"/>
          </w:rPr>
          <m:t>Pa=1013.25 ×</m:t>
        </m:r>
        <m:sSup>
          <m:sSupPr>
            <m:ctrlPr>
              <w:rPr>
                <w:rFonts w:ascii="Cambria Math" w:hAnsi="Cambria Math"/>
                <w:i/>
              </w:rPr>
            </m:ctrlPr>
          </m:sSupPr>
          <m:e>
            <m:r>
              <w:rPr>
                <w:rFonts w:ascii="Cambria Math" w:hAnsi="Cambria Math"/>
              </w:rPr>
              <m:t>(1-2.255 ×</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 z)</m:t>
            </m:r>
          </m:e>
          <m:sup>
            <m:r>
              <w:rPr>
                <w:rFonts w:ascii="Cambria Math" w:hAnsi="Cambria Math"/>
              </w:rPr>
              <m:t>5.256</m:t>
            </m:r>
          </m:sup>
        </m:sSup>
        <m:r>
          <w:rPr>
            <w:rFonts w:ascii="Cambria Math" w:hAnsi="Cambria Math"/>
          </w:rPr>
          <m:t xml:space="preserve"> </m:t>
        </m:r>
      </m:oMath>
      <w:r w:rsidR="004A2262">
        <w:tab/>
      </w:r>
      <w:r w:rsidR="004A2262">
        <w:tab/>
      </w:r>
      <w:r w:rsidR="004A2262">
        <w:tab/>
      </w:r>
      <w:r w:rsidR="004A2262">
        <w:tab/>
        <w:t>(3.15)</w:t>
      </w:r>
    </w:p>
    <w:p w14:paraId="4CAE2E03" w14:textId="45DCF0C2" w:rsidR="00031310" w:rsidRDefault="00EA4C4E" w:rsidP="00AD0E5A">
      <w:pPr>
        <w:pStyle w:val="Heading3"/>
        <w:jc w:val="both"/>
      </w:pPr>
      <w:bookmarkStart w:id="27" w:name="_Toc181041683"/>
      <w:r>
        <w:t xml:space="preserve">3.1.3 </w:t>
      </w:r>
      <w:bookmarkStart w:id="28" w:name="evaporation-from-wet-canopy"/>
      <w:r>
        <w:t>Evaporation from Wet Canopy</w:t>
      </w:r>
      <w:bookmarkEnd w:id="27"/>
      <w:bookmarkEnd w:id="28"/>
    </w:p>
    <w:p w14:paraId="5127FD15" w14:textId="02381F2A" w:rsidR="00031310" w:rsidRDefault="00EA4C4E" w:rsidP="00AD0E5A">
      <w:pPr>
        <w:pStyle w:val="FirstParagraph"/>
        <w:spacing w:after="120"/>
        <w:jc w:val="both"/>
      </w:pPr>
      <w:r>
        <w:t xml:space="preserve">Evaporation from </w:t>
      </w:r>
      <w:r w:rsidR="00757624">
        <w:t xml:space="preserve">a </w:t>
      </w:r>
      <w:r>
        <w:t xml:space="preserve">wet canopy occurs when a portion of the surface area under investigation is saturated with water; it consists of precipitated water intercepted by the </w:t>
      </w:r>
      <w:r w:rsidR="00757624">
        <w:t>vegetation canopy (LAI)</w:t>
      </w:r>
      <w:r>
        <w:t xml:space="preserve">. </w:t>
      </w:r>
      <w:r>
        <w:lastRenderedPageBreak/>
        <w:t>As with all the components of ET, it is calculated separately for daytime and nighttime inputs. First, net radiation to the canopy is calculated as:</w:t>
      </w:r>
    </w:p>
    <w:p w14:paraId="06250039" w14:textId="4A0AD4C1" w:rsidR="00031310" w:rsidRDefault="00000000" w:rsidP="00AD0E5A">
      <w:pPr>
        <w:pStyle w:val="BodyText"/>
        <w:jc w:val="both"/>
      </w:pPr>
      <m:oMath>
        <m:sSub>
          <m:sSubPr>
            <m:ctrlPr>
              <w:rPr>
                <w:rFonts w:ascii="Cambria Math" w:hAnsi="Cambria Math"/>
              </w:rPr>
            </m:ctrlPr>
          </m:sSubPr>
          <m:e>
            <m:r>
              <w:rPr>
                <w:rFonts w:ascii="Cambria Math" w:hAnsi="Cambria Math"/>
              </w:rPr>
              <m:t>A</m:t>
            </m:r>
          </m:e>
          <m:sub>
            <m:r>
              <m:rPr>
                <m:lit/>
                <m:nor/>
              </m:rPr>
              <w:rPr>
                <w:rFonts w:ascii="Cambria Math" w:hAnsi="Cambria Math"/>
              </w:rPr>
              <m:t>canopy</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×A</m:t>
        </m:r>
      </m:oMath>
      <w:r w:rsidR="004A2262">
        <w:tab/>
      </w:r>
      <w:r w:rsidR="004A2262">
        <w:tab/>
      </w:r>
      <w:r w:rsidR="004A2262">
        <w:tab/>
      </w:r>
      <w:r w:rsidR="004A2262">
        <w:tab/>
      </w:r>
      <w:r w:rsidR="004A2262">
        <w:tab/>
      </w:r>
      <w:r w:rsidR="004A2262">
        <w:tab/>
      </w:r>
      <w:r w:rsidR="004A2262">
        <w:tab/>
      </w:r>
      <w:r w:rsidR="004A2262">
        <w:tab/>
        <w:t>(3.16)</w:t>
      </w:r>
    </w:p>
    <w:p w14:paraId="54864C45" w14:textId="101ABDA9" w:rsidR="00031310" w:rsidRDefault="00EA4C4E" w:rsidP="00AD0E5A">
      <w:pPr>
        <w:pStyle w:val="FirstParagraph"/>
        <w:spacing w:before="120" w:after="120"/>
        <w:jc w:val="both"/>
      </w:pPr>
      <w:r>
        <w:t xml:space="preserve">Where </w:t>
      </w:r>
      <m:oMath>
        <m:r>
          <w:rPr>
            <w:rFonts w:ascii="Cambria Math" w:hAnsi="Cambria Math"/>
          </w:rPr>
          <m:t>A</m:t>
        </m:r>
      </m:oMath>
      <w:r>
        <w:t xml:space="preserve"> is calculated as in Equation </w:t>
      </w:r>
      <w:r w:rsidR="00626D33">
        <w:t>3.1</w:t>
      </w:r>
      <w:r>
        <w:t xml:space="preserve">. The movement of water vapor from the surface to the atmosphere is analogized to </w:t>
      </w:r>
      <w:r w:rsidR="006B461A" w:rsidRPr="000D2F96">
        <w:t>Ohm’s Law of</w:t>
      </w:r>
      <w:r w:rsidR="006B461A">
        <w:t xml:space="preserve"> </w:t>
      </w:r>
      <w:r>
        <w:t>an electrical circuit (</w:t>
      </w:r>
      <w:r w:rsidR="006B461A">
        <w:t xml:space="preserve">Monteith &amp; Unsworth, 2013; </w:t>
      </w:r>
      <w:r>
        <w:t xml:space="preserve">Zhang et al. 2016). Therefore, the next step involves calculating the </w:t>
      </w:r>
      <w:r>
        <w:rPr>
          <w:i/>
        </w:rPr>
        <w:t>resistances</w:t>
      </w:r>
      <w:r>
        <w:t xml:space="preserve"> to the flow of water vapor. The </w:t>
      </w:r>
      <w:r>
        <w:rPr>
          <w:b/>
        </w:rPr>
        <w:t>resistance to radiative heat transfer through the air,</w:t>
      </w:r>
      <w:r>
        <w:t xml:space="preserve"> </w:t>
      </w:r>
      <m:oMath>
        <m:sSub>
          <m:sSubPr>
            <m:ctrlPr>
              <w:rPr>
                <w:rFonts w:ascii="Cambria Math" w:hAnsi="Cambria Math"/>
              </w:rPr>
            </m:ctrlPr>
          </m:sSubPr>
          <m:e>
            <m:r>
              <w:rPr>
                <w:rFonts w:ascii="Cambria Math" w:hAnsi="Cambria Math"/>
              </w:rPr>
              <m:t>r</m:t>
            </m:r>
          </m:e>
          <m:sub>
            <m:r>
              <w:rPr>
                <w:rFonts w:ascii="Cambria Math" w:hAnsi="Cambria Math"/>
              </w:rPr>
              <m:t>R</m:t>
            </m:r>
          </m:sub>
        </m:sSub>
      </m:oMath>
      <w:r>
        <w:t>, is given as a function of temperature (</w:t>
      </w:r>
      <m:oMath>
        <m:r>
          <w:rPr>
            <w:rFonts w:ascii="Cambria Math" w:hAnsi="Cambria Math"/>
          </w:rPr>
          <m:t>T</m:t>
        </m:r>
      </m:oMath>
      <w:r>
        <w:t>, degrees K) and air density (</w:t>
      </w:r>
      <m:oMath>
        <m:r>
          <w:rPr>
            <w:rFonts w:ascii="Cambria Math" w:hAnsi="Cambria Math"/>
          </w:rPr>
          <m:t>ρ</m:t>
        </m:r>
      </m:oMath>
      <w:r>
        <w:t>):</w:t>
      </w:r>
    </w:p>
    <w:p w14:paraId="3F28CA6F" w14:textId="43896E28"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w:rPr>
                <w:rFonts w:ascii="Cambria Math" w:hAnsi="Cambria Math"/>
              </w:rPr>
              <m:t>R</m:t>
            </m:r>
          </m:sub>
        </m:sSub>
        <m:r>
          <w:rPr>
            <w:rFonts w:ascii="Cambria Math" w:hAnsi="Cambria Math"/>
          </w:rPr>
          <m:t>=</m:t>
        </m:r>
        <m:f>
          <m:fPr>
            <m:ctrlPr>
              <w:rPr>
                <w:rFonts w:ascii="Cambria Math" w:hAnsi="Cambria Math"/>
              </w:rPr>
            </m:ctrlPr>
          </m:fPr>
          <m:num>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p</m:t>
                </m:r>
              </m:sub>
            </m:sSub>
          </m:num>
          <m:den>
            <m:r>
              <w:rPr>
                <w:rFonts w:ascii="Cambria Math" w:hAnsi="Cambria Math"/>
              </w:rPr>
              <m:t>4σ</m:t>
            </m:r>
            <m:sSup>
              <m:sSupPr>
                <m:ctrlPr>
                  <w:rPr>
                    <w:rFonts w:ascii="Cambria Math" w:hAnsi="Cambria Math"/>
                  </w:rPr>
                </m:ctrlPr>
              </m:sSupPr>
              <m:e>
                <m:r>
                  <w:rPr>
                    <w:rFonts w:ascii="Cambria Math" w:hAnsi="Cambria Math"/>
                  </w:rPr>
                  <m:t>T</m:t>
                </m:r>
              </m:e>
              <m:sup>
                <m:r>
                  <w:rPr>
                    <w:rFonts w:ascii="Cambria Math" w:hAnsi="Cambria Math"/>
                  </w:rPr>
                  <m:t>3</m:t>
                </m:r>
              </m:sup>
            </m:sSup>
          </m:den>
        </m:f>
      </m:oMath>
      <w:r w:rsidR="00EA4C4E">
        <w:tab/>
      </w:r>
      <w:r w:rsidR="00757624">
        <w:tab/>
      </w:r>
      <w:r w:rsidR="00757624">
        <w:tab/>
      </w:r>
      <w:r w:rsidR="00757624">
        <w:tab/>
      </w:r>
      <w:r w:rsidR="00757624">
        <w:tab/>
      </w:r>
      <w:r w:rsidR="00757624">
        <w:tab/>
      </w:r>
      <w:r w:rsidR="00757624">
        <w:tab/>
      </w:r>
      <w:r w:rsidR="00757624">
        <w:tab/>
      </w:r>
      <w:r w:rsidR="00757624">
        <w:tab/>
      </w:r>
      <w:r w:rsidR="00EA4C4E">
        <w:t>(</w:t>
      </w:r>
      <w:r w:rsidR="004A2262">
        <w:t>3.17</w:t>
      </w:r>
      <w:r w:rsidR="00EA4C4E">
        <w:t>)</w:t>
      </w:r>
    </w:p>
    <w:p w14:paraId="1AEAD639" w14:textId="77777777" w:rsidR="00031310" w:rsidRDefault="00EA4C4E" w:rsidP="00AD0E5A">
      <w:pPr>
        <w:pStyle w:val="FirstParagraph"/>
        <w:spacing w:before="120"/>
        <w:jc w:val="both"/>
      </w:pPr>
      <w:r>
        <w:t xml:space="preserve">Where </w:t>
      </w:r>
      <m:oMath>
        <m:r>
          <w:rPr>
            <w:rFonts w:ascii="Cambria Math" w:hAnsi="Cambria Math"/>
          </w:rPr>
          <m:t>σ</m:t>
        </m:r>
      </m:oMath>
      <w:r>
        <w:t xml:space="preserve"> is the Stefan-Boltzmann constant.</w:t>
      </w:r>
    </w:p>
    <w:p w14:paraId="3E2910A3" w14:textId="77777777" w:rsidR="00031310" w:rsidRDefault="00EA4C4E" w:rsidP="00AD0E5A">
      <w:pPr>
        <w:pStyle w:val="BodyText"/>
        <w:spacing w:before="120" w:after="120"/>
        <w:ind w:firstLine="432"/>
        <w:jc w:val="both"/>
      </w:pPr>
      <w:r>
        <w:rPr>
          <w:b/>
        </w:rPr>
        <w:t>The resistant of wet canopy to sensible heat</w:t>
      </w:r>
      <w:r>
        <w:t xml:space="preserve"> is given in terms of the leaf area index (LAI), </w:t>
      </w:r>
      <m:oMath>
        <m:sSub>
          <m:sSubPr>
            <m:ctrlPr>
              <w:rPr>
                <w:rFonts w:ascii="Cambria Math" w:hAnsi="Cambria Math"/>
              </w:rPr>
            </m:ctrlPr>
          </m:sSubPr>
          <m:e>
            <m:r>
              <w:rPr>
                <w:rFonts w:ascii="Cambria Math" w:hAnsi="Cambria Math"/>
              </w:rPr>
              <m:t>F</m:t>
            </m:r>
          </m:e>
          <m:sub>
            <m:r>
              <m:rPr>
                <m:lit/>
                <m:nor/>
              </m:rPr>
              <w:rPr>
                <w:rFonts w:ascii="Cambria Math" w:hAnsi="Cambria Math"/>
              </w:rPr>
              <m:t>wet</m:t>
            </m:r>
          </m:sub>
        </m:sSub>
      </m:oMath>
      <w:r>
        <w:t xml:space="preserve">, and the leaf conductance to sensible heat (per unit LAI), </w:t>
      </w:r>
      <m:oMath>
        <m:sSub>
          <m:sSubPr>
            <m:ctrlPr>
              <w:rPr>
                <w:rFonts w:ascii="Cambria Math" w:hAnsi="Cambria Math"/>
              </w:rPr>
            </m:ctrlPr>
          </m:sSubPr>
          <m:e>
            <m:r>
              <w:rPr>
                <w:rFonts w:ascii="Cambria Math" w:hAnsi="Cambria Math"/>
              </w:rPr>
              <m:t>g</m:t>
            </m:r>
          </m:e>
          <m:sub>
            <m:r>
              <w:rPr>
                <w:rFonts w:ascii="Cambria Math" w:hAnsi="Cambria Math"/>
              </w:rPr>
              <m:t>SH</m:t>
            </m:r>
          </m:sub>
        </m:sSub>
      </m:oMath>
      <w:r>
        <w:t>, which is a free parameter:</w:t>
      </w:r>
    </w:p>
    <w:p w14:paraId="48702571" w14:textId="256BFEEF"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w:rPr>
                <w:rFonts w:ascii="Cambria Math" w:hAnsi="Cambria Math"/>
              </w:rPr>
              <m:t>SH</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SH</m:t>
                </m:r>
              </m:sub>
            </m:sSub>
            <m:r>
              <w:rPr>
                <w:rFonts w:ascii="Cambria Math" w:hAnsi="Cambria Math"/>
              </w:rPr>
              <m:t>×</m:t>
            </m:r>
            <m:r>
              <m:rPr>
                <m:lit/>
                <m:nor/>
              </m:rPr>
              <w:rPr>
                <w:rFonts w:ascii="Cambria Math" w:hAnsi="Cambria Math"/>
              </w:rPr>
              <m:t>LAI</m:t>
            </m:r>
            <m:r>
              <w:rPr>
                <w:rFonts w:ascii="Cambria Math" w:hAnsi="Cambria Math"/>
              </w:rPr>
              <m:t>×</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den>
        </m:f>
      </m:oMath>
      <w:r w:rsidR="004A2262">
        <w:tab/>
      </w:r>
      <w:r w:rsidR="004A2262">
        <w:tab/>
      </w:r>
      <w:r w:rsidR="004A2262">
        <w:tab/>
      </w:r>
      <w:r w:rsidR="004A2262">
        <w:tab/>
      </w:r>
      <w:r w:rsidR="004A2262">
        <w:tab/>
      </w:r>
      <w:r w:rsidR="004A2262">
        <w:tab/>
      </w:r>
      <w:r w:rsidR="004A2262">
        <w:tab/>
      </w:r>
      <w:r w:rsidR="004A2262">
        <w:tab/>
        <w:t>(3.18)</w:t>
      </w:r>
    </w:p>
    <w:p w14:paraId="11592CEE" w14:textId="77777777" w:rsidR="00031310" w:rsidRDefault="00EA4C4E" w:rsidP="00AD0E5A">
      <w:pPr>
        <w:pStyle w:val="FirstParagraph"/>
        <w:spacing w:before="120" w:after="120"/>
        <w:jc w:val="both"/>
      </w:pPr>
      <w:r>
        <w:t xml:space="preserve">Similarly, </w:t>
      </w:r>
      <w:r>
        <w:rPr>
          <w:b/>
        </w:rPr>
        <w:t>the resistance of leaf surfaces in wet canopy to evaporated water,</w:t>
      </w:r>
      <w:r>
        <w:t xml:space="preserve"> </w:t>
      </w:r>
      <m:oMath>
        <m:sSub>
          <m:sSubPr>
            <m:ctrlPr>
              <w:rPr>
                <w:rFonts w:ascii="Cambria Math" w:hAnsi="Cambria Math"/>
              </w:rPr>
            </m:ctrlPr>
          </m:sSubPr>
          <m:e>
            <m:r>
              <w:rPr>
                <w:rFonts w:ascii="Cambria Math" w:hAnsi="Cambria Math"/>
              </w:rPr>
              <m:t>r</m:t>
            </m:r>
          </m:e>
          <m:sub>
            <m:r>
              <w:rPr>
                <w:rFonts w:ascii="Cambria Math" w:hAnsi="Cambria Math"/>
              </w:rPr>
              <m:t>WV</m:t>
            </m:r>
          </m:sub>
        </m:sSub>
      </m:oMath>
      <w:r>
        <w:t xml:space="preserve">, is given in terms of the leaf conductance to evaporated water (per unit LAI), </w:t>
      </w:r>
      <m:oMath>
        <m:sSub>
          <m:sSubPr>
            <m:ctrlPr>
              <w:rPr>
                <w:rFonts w:ascii="Cambria Math" w:hAnsi="Cambria Math"/>
              </w:rPr>
            </m:ctrlPr>
          </m:sSubPr>
          <m:e>
            <m:r>
              <w:rPr>
                <w:rFonts w:ascii="Cambria Math" w:hAnsi="Cambria Math"/>
              </w:rPr>
              <m:t>g</m:t>
            </m:r>
          </m:e>
          <m:sub>
            <m:r>
              <w:rPr>
                <w:rFonts w:ascii="Cambria Math" w:hAnsi="Cambria Math"/>
              </w:rPr>
              <m:t>WV</m:t>
            </m:r>
          </m:sub>
        </m:sSub>
      </m:oMath>
      <w:r>
        <w:t>, a free parameter:</w:t>
      </w:r>
    </w:p>
    <w:p w14:paraId="251D67E0" w14:textId="77E9424D"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w:rPr>
                <w:rFonts w:ascii="Cambria Math" w:hAnsi="Cambria Math"/>
              </w:rPr>
              <m:t>WV</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WV</m:t>
                </m:r>
              </m:sub>
            </m:sSub>
            <m:r>
              <w:rPr>
                <w:rFonts w:ascii="Cambria Math" w:hAnsi="Cambria Math"/>
              </w:rPr>
              <m:t>×</m:t>
            </m:r>
            <m:r>
              <m:rPr>
                <m:lit/>
                <m:nor/>
              </m:rPr>
              <w:rPr>
                <w:rFonts w:ascii="Cambria Math" w:hAnsi="Cambria Math"/>
              </w:rPr>
              <m:t>LAI</m:t>
            </m:r>
            <m:r>
              <w:rPr>
                <w:rFonts w:ascii="Cambria Math" w:hAnsi="Cambria Math"/>
              </w:rPr>
              <m:t>×</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den>
        </m:f>
      </m:oMath>
      <w:r w:rsidR="004A2262">
        <w:tab/>
      </w:r>
      <w:r w:rsidR="004A2262">
        <w:tab/>
      </w:r>
      <w:r w:rsidR="004A2262">
        <w:tab/>
      </w:r>
      <w:r w:rsidR="004A2262">
        <w:tab/>
      </w:r>
      <w:r w:rsidR="004A2262">
        <w:tab/>
      </w:r>
      <w:r w:rsidR="004A2262">
        <w:tab/>
      </w:r>
      <w:r w:rsidR="004A2262">
        <w:tab/>
      </w:r>
      <w:r w:rsidR="004A2262">
        <w:tab/>
        <w:t>(3.19)</w:t>
      </w:r>
    </w:p>
    <w:p w14:paraId="7426C5CD" w14:textId="77777777" w:rsidR="00031310" w:rsidRDefault="00EA4C4E" w:rsidP="00AD0E5A">
      <w:pPr>
        <w:pStyle w:val="FirstParagraph"/>
        <w:spacing w:before="120" w:after="120"/>
        <w:jc w:val="both"/>
      </w:pPr>
      <w:r>
        <w:t xml:space="preserve">And, finally, the </w:t>
      </w:r>
      <w:r>
        <w:rPr>
          <w:b/>
        </w:rPr>
        <w:t>aerodynamic resistance to evaporated water on the wet canopy surface,</w:t>
      </w:r>
      <w:r>
        <w:t xml:space="preserve"> </w:t>
      </w:r>
      <m:oMath>
        <m:sSub>
          <m:sSubPr>
            <m:ctrlPr>
              <w:rPr>
                <w:rFonts w:ascii="Cambria Math" w:hAnsi="Cambria Math"/>
              </w:rPr>
            </m:ctrlPr>
          </m:sSubPr>
          <m:e>
            <m:r>
              <w:rPr>
                <w:rFonts w:ascii="Cambria Math" w:hAnsi="Cambria Math"/>
              </w:rPr>
              <m:t>r</m:t>
            </m:r>
          </m:e>
          <m:sub>
            <m:r>
              <m:rPr>
                <m:lit/>
                <m:nor/>
              </m:rPr>
              <w:rPr>
                <w:rFonts w:ascii="Cambria Math" w:hAnsi="Cambria Math"/>
              </w:rPr>
              <m:t>wet</m:t>
            </m:r>
          </m:sub>
        </m:sSub>
      </m:oMath>
      <w:r>
        <w:t xml:space="preserve">, is given by combining the resistances </w:t>
      </w:r>
      <m:oMath>
        <m:sSub>
          <m:sSubPr>
            <m:ctrlPr>
              <w:rPr>
                <w:rFonts w:ascii="Cambria Math" w:hAnsi="Cambria Math"/>
              </w:rPr>
            </m:ctrlPr>
          </m:sSubPr>
          <m:e>
            <m:r>
              <w:rPr>
                <w:rFonts w:ascii="Cambria Math" w:hAnsi="Cambria Math"/>
              </w:rPr>
              <m:t>r</m:t>
            </m:r>
          </m:e>
          <m:sub>
            <m:r>
              <w:rPr>
                <w:rFonts w:ascii="Cambria Math" w:hAnsi="Cambria Math"/>
              </w:rPr>
              <m:t>R</m:t>
            </m:r>
          </m:sub>
        </m:sSub>
      </m:oMath>
      <w:r>
        <w:t xml:space="preserve"> and </w:t>
      </w:r>
      <m:oMath>
        <m:sSub>
          <m:sSubPr>
            <m:ctrlPr>
              <w:rPr>
                <w:rFonts w:ascii="Cambria Math" w:hAnsi="Cambria Math"/>
              </w:rPr>
            </m:ctrlPr>
          </m:sSubPr>
          <m:e>
            <m:r>
              <w:rPr>
                <w:rFonts w:ascii="Cambria Math" w:hAnsi="Cambria Math"/>
              </w:rPr>
              <m:t>r</m:t>
            </m:r>
          </m:e>
          <m:sub>
            <m:r>
              <w:rPr>
                <w:rFonts w:ascii="Cambria Math" w:hAnsi="Cambria Math"/>
              </w:rPr>
              <m:t>SH</m:t>
            </m:r>
          </m:sub>
        </m:sSub>
      </m:oMath>
      <w:r>
        <w:t xml:space="preserve"> in parallel, because heat (of the wet canopy surface) can be lost through either channel:</w:t>
      </w:r>
    </w:p>
    <w:p w14:paraId="0E7F49FA" w14:textId="4C9C479D"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wet</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SH</m:t>
                </m:r>
              </m:sub>
            </m:sSub>
            <m:sSub>
              <m:sSubPr>
                <m:ctrlPr>
                  <w:rPr>
                    <w:rFonts w:ascii="Cambria Math" w:hAnsi="Cambria Math"/>
                  </w:rPr>
                </m:ctrlPr>
              </m:sSubPr>
              <m:e>
                <m:r>
                  <w:rPr>
                    <w:rFonts w:ascii="Cambria Math" w:hAnsi="Cambria Math"/>
                  </w:rPr>
                  <m:t>r</m:t>
                </m:r>
              </m:e>
              <m:sub>
                <m:r>
                  <w:rPr>
                    <w:rFonts w:ascii="Cambria Math" w:hAnsi="Cambria Math"/>
                  </w:rPr>
                  <m:t>R</m:t>
                </m:r>
              </m:sub>
            </m:sSub>
          </m:num>
          <m:den>
            <m:sSub>
              <m:sSubPr>
                <m:ctrlPr>
                  <w:rPr>
                    <w:rFonts w:ascii="Cambria Math" w:hAnsi="Cambria Math"/>
                  </w:rPr>
                </m:ctrlPr>
              </m:sSubPr>
              <m:e>
                <m:r>
                  <w:rPr>
                    <w:rFonts w:ascii="Cambria Math" w:hAnsi="Cambria Math"/>
                  </w:rPr>
                  <m:t>r</m:t>
                </m:r>
              </m:e>
              <m:sub>
                <m:r>
                  <w:rPr>
                    <w:rFonts w:ascii="Cambria Math" w:hAnsi="Cambria Math"/>
                  </w:rPr>
                  <m:t>SH</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R</m:t>
                </m:r>
              </m:sub>
            </m:sSub>
          </m:den>
        </m:f>
      </m:oMath>
      <w:r w:rsidR="004A2262">
        <w:tab/>
      </w:r>
      <w:r w:rsidR="004A2262">
        <w:tab/>
      </w:r>
      <w:r w:rsidR="004A2262">
        <w:tab/>
      </w:r>
      <w:r w:rsidR="004A2262">
        <w:tab/>
      </w:r>
      <w:r w:rsidR="004A2262">
        <w:tab/>
      </w:r>
      <w:r w:rsidR="004A2262">
        <w:tab/>
      </w:r>
      <w:r w:rsidR="004A2262">
        <w:tab/>
      </w:r>
      <w:r w:rsidR="004A2262">
        <w:tab/>
      </w:r>
      <w:r w:rsidR="004A2262">
        <w:tab/>
        <w:t>(3.20)</w:t>
      </w:r>
    </w:p>
    <w:p w14:paraId="4445C314" w14:textId="77777777" w:rsidR="00031310" w:rsidRDefault="00EA4C4E" w:rsidP="00AD0E5A">
      <w:pPr>
        <w:pStyle w:val="FirstParagraph"/>
        <w:spacing w:before="120" w:after="120"/>
        <w:jc w:val="both"/>
        <w:rPr>
          <w:b/>
        </w:rPr>
      </w:pPr>
      <w:r>
        <w:t xml:space="preserve">We now have all the quantities necessary to calculate the </w:t>
      </w:r>
      <w:r>
        <w:rPr>
          <w:b/>
        </w:rPr>
        <w:t>wet canopy evaporation flux:</w:t>
      </w:r>
    </w:p>
    <w:p w14:paraId="7EFBB01F" w14:textId="25165D1F" w:rsidR="000213D6" w:rsidRPr="009C38D2" w:rsidRDefault="000213D6" w:rsidP="001160FE">
      <w:pPr>
        <w:pStyle w:val="BodyText"/>
        <w:jc w:val="both"/>
      </w:pP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canopy</m:t>
            </m:r>
          </m:sub>
        </m:sSub>
        <m:r>
          <w:rPr>
            <w:rFonts w:ascii="Cambria Math" w:hAnsi="Cambria Math"/>
          </w:rPr>
          <m:t>=</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f>
          <m:fPr>
            <m:ctrlPr>
              <w:rPr>
                <w:rFonts w:ascii="Cambria Math" w:hAnsi="Cambria Math"/>
              </w:rPr>
            </m:ctrlPr>
          </m:fPr>
          <m:num>
            <m:r>
              <w:rPr>
                <w:rFonts w:ascii="Cambria Math" w:hAnsi="Cambria Math"/>
              </w:rPr>
              <m:t>s</m:t>
            </m:r>
            <m:sSub>
              <m:sSubPr>
                <m:ctrlPr>
                  <w:rPr>
                    <w:rFonts w:ascii="Cambria Math" w:hAnsi="Cambria Math"/>
                  </w:rPr>
                </m:ctrlPr>
              </m:sSubPr>
              <m:e>
                <m:r>
                  <w:rPr>
                    <w:rFonts w:ascii="Cambria Math" w:hAnsi="Cambria Math"/>
                  </w:rPr>
                  <m:t>A</m:t>
                </m:r>
              </m:e>
              <m:sub>
                <m:r>
                  <m:rPr>
                    <m:lit/>
                    <m:nor/>
                  </m:rPr>
                  <w:rPr>
                    <w:rFonts w:ascii="Cambria Math" w:hAnsi="Cambria Math"/>
                  </w:rPr>
                  <m:t>canopy</m:t>
                </m:r>
              </m:sub>
            </m:sSub>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p</m:t>
                </m:r>
              </m:sub>
            </m:sSub>
            <m:d>
              <m:dPr>
                <m:begChr m:val="["/>
                <m:endChr m:val="]"/>
                <m:ctrlPr>
                  <w:rPr>
                    <w:rFonts w:ascii="Cambria Math" w:hAnsi="Cambria Math"/>
                  </w:rPr>
                </m:ctrlPr>
              </m:dPr>
              <m:e>
                <m:r>
                  <m:rPr>
                    <m:lit/>
                    <m:nor/>
                  </m:rPr>
                  <w:rPr>
                    <w:rFonts w:ascii="Cambria Math" w:hAnsi="Cambria Math"/>
                  </w:rPr>
                  <m:t>VPD</m:t>
                </m:r>
              </m:e>
            </m:d>
            <m: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c</m:t>
                        </m:r>
                      </m:sub>
                    </m:sSub>
                  </m:num>
                  <m:den>
                    <m:sSub>
                      <m:sSubPr>
                        <m:ctrlPr>
                          <w:rPr>
                            <w:rFonts w:ascii="Cambria Math" w:hAnsi="Cambria Math"/>
                          </w:rPr>
                        </m:ctrlPr>
                      </m:sSubPr>
                      <m:e>
                        <m:r>
                          <w:rPr>
                            <w:rFonts w:ascii="Cambria Math" w:hAnsi="Cambria Math"/>
                          </w:rPr>
                          <m:t>r</m:t>
                        </m:r>
                      </m:e>
                      <m:sub>
                        <m:r>
                          <m:rPr>
                            <m:lit/>
                            <m:nor/>
                          </m:rPr>
                          <w:rPr>
                            <w:rFonts w:ascii="Cambria Math" w:hAnsi="Cambria Math"/>
                          </w:rPr>
                          <m:t>wet</m:t>
                        </m:r>
                      </m:sub>
                    </m:sSub>
                  </m:den>
                </m:f>
              </m:e>
            </m:d>
          </m:num>
          <m:den>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γ r</m:t>
                    </m:r>
                  </m:e>
                  <m:sub>
                    <m:r>
                      <w:rPr>
                        <w:rFonts w:ascii="Cambria Math" w:hAnsi="Cambria Math"/>
                      </w:rPr>
                      <m:t>wv</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wet</m:t>
                    </m:r>
                  </m:sub>
                </m:sSub>
              </m:e>
            </m:d>
          </m:den>
        </m:f>
      </m:oMath>
      <w:r w:rsidR="004A2262">
        <w:tab/>
      </w:r>
      <w:r w:rsidR="004A2262">
        <w:tab/>
      </w:r>
      <w:r w:rsidR="004A2262">
        <w:tab/>
      </w:r>
      <w:r w:rsidR="004A2262">
        <w:tab/>
      </w:r>
      <w:r w:rsidR="004A2262">
        <w:tab/>
        <w:t>(3.21)</w:t>
      </w:r>
    </w:p>
    <w:p w14:paraId="7431EBB5" w14:textId="77777777" w:rsidR="000213D6" w:rsidRDefault="000213D6" w:rsidP="00AD0E5A">
      <w:pPr>
        <w:pStyle w:val="FirstParagraph"/>
        <w:spacing w:before="120" w:after="120"/>
        <w:jc w:val="both"/>
      </w:pPr>
    </w:p>
    <w:p w14:paraId="61477EAE" w14:textId="34AC25A6" w:rsidR="00031310" w:rsidRDefault="000213D6" w:rsidP="001160FE">
      <w:pPr>
        <w:pStyle w:val="FirstParagraph"/>
        <w:spacing w:before="120"/>
        <w:jc w:val="both"/>
      </w:pPr>
      <w:r w:rsidRPr="000213D6">
        <w:t xml:space="preserve">Where </w:t>
      </w:r>
      <m:oMath>
        <m:r>
          <m:rPr>
            <m:sty m:val="p"/>
          </m:rPr>
          <w:rPr>
            <w:rFonts w:ascii="Cambria Math" w:hAnsi="Cambria Math"/>
          </w:rPr>
          <m:t>A</m:t>
        </m:r>
      </m:oMath>
      <w:r w:rsidRPr="000213D6">
        <w:t xml:space="preserve">  is day or nighttime dependent for the wet canopy evaporation in day or nighttime.  </w:t>
      </w:r>
      <w:r w:rsidR="00EA4C4E" w:rsidRPr="000213D6">
        <w:t>Again 0.622 is the ratio of molecular weights</w:t>
      </w:r>
      <w:r w:rsidR="00757624" w:rsidRPr="000213D6">
        <w:t xml:space="preserve"> of </w:t>
      </w:r>
      <w:r w:rsidR="00EA4C4E" w:rsidRPr="000213D6">
        <w:t xml:space="preserve">water vapor to dry air. </w:t>
      </w:r>
      <w:r w:rsidRPr="000213D6">
        <w:t xml:space="preserve">Note that if the absolute value of </w:t>
      </w:r>
      <m:oMath>
        <m:sSub>
          <m:sSubPr>
            <m:ctrlPr>
              <w:rPr>
                <w:rFonts w:ascii="Cambria Math" w:hAnsi="Cambria Math"/>
              </w:rPr>
            </m:ctrlPr>
          </m:sSubPr>
          <m:e>
            <m:r>
              <w:rPr>
                <w:rFonts w:ascii="Cambria Math" w:hAnsi="Cambria Math"/>
              </w:rPr>
              <m:t>F</m:t>
            </m:r>
          </m:e>
          <m:sub>
            <m:r>
              <m:rPr>
                <m:lit/>
                <m:nor/>
              </m:rPr>
              <m:t>wet</m:t>
            </m:r>
          </m:sub>
        </m:sSub>
        <m:r>
          <m:rPr>
            <m:sty m:val="p"/>
          </m:rPr>
          <w:rPr>
            <w:rFonts w:ascii="Cambria Math" w:hAnsi="Cambria Math"/>
          </w:rPr>
          <m:t xml:space="preserve"> × </m:t>
        </m:r>
        <m:r>
          <w:rPr>
            <w:rFonts w:ascii="Cambria Math" w:hAnsi="Cambria Math"/>
          </w:rPr>
          <m:t>LAI</m:t>
        </m:r>
        <m:r>
          <m:rPr>
            <m:sty m:val="p"/>
          </m:rPr>
          <w:rPr>
            <w:rFonts w:ascii="Cambria Math" w:hAnsi="Cambria Math"/>
          </w:rPr>
          <m:t xml:space="preserve"> &lt;= 1.</m:t>
        </m:r>
        <m:r>
          <w:rPr>
            <w:rFonts w:ascii="Cambria Math" w:hAnsi="Cambria Math"/>
          </w:rPr>
          <m:t>e</m:t>
        </m:r>
        <m:r>
          <m:rPr>
            <m:sty m:val="p"/>
          </m:rPr>
          <w:rPr>
            <w:rFonts w:ascii="Cambria Math" w:hAnsi="Cambria Math"/>
          </w:rPr>
          <m:t>-7</m:t>
        </m:r>
      </m:oMath>
      <w:r w:rsidRPr="000213D6">
        <w:t xml:space="preserve">, then </w:t>
      </w:r>
      <m:oMath>
        <m:r>
          <m:rPr>
            <m:sty m:val="bi"/>
          </m:rPr>
          <w:rPr>
            <w:rFonts w:ascii="Cambria Math" w:hAnsi="Cambria Math"/>
          </w:rPr>
          <m:t>λ</m:t>
        </m:r>
        <m:sSub>
          <m:sSubPr>
            <m:ctrlPr>
              <w:rPr>
                <w:rFonts w:ascii="Cambria Math" w:hAnsi="Cambria Math"/>
                <w:b/>
                <w:bCs/>
              </w:rPr>
            </m:ctrlPr>
          </m:sSubPr>
          <m:e>
            <m:r>
              <m:rPr>
                <m:sty m:val="bi"/>
              </m:rPr>
              <w:rPr>
                <w:rFonts w:ascii="Cambria Math" w:hAnsi="Cambria Math"/>
              </w:rPr>
              <m:t>E</m:t>
            </m:r>
          </m:e>
          <m:sub>
            <m:r>
              <m:rPr>
                <m:lit/>
                <m:nor/>
              </m:rPr>
              <w:rPr>
                <w:b/>
                <w:bCs/>
              </w:rPr>
              <m:t>canopy</m:t>
            </m:r>
          </m:sub>
        </m:sSub>
      </m:oMath>
      <w:r w:rsidRPr="000213D6">
        <w:rPr>
          <w:b/>
          <w:bCs/>
        </w:rPr>
        <w:t xml:space="preserve"> is also zero besides the threshold of RH &lt; 70% shown in the above Equation </w:t>
      </w:r>
      <w:r w:rsidR="00626D33">
        <w:rPr>
          <w:b/>
          <w:bCs/>
        </w:rPr>
        <w:t>3.1</w:t>
      </w:r>
      <w:r w:rsidRPr="000213D6">
        <w:t>, indicating respective dry canopy or sparse vegetation.</w:t>
      </w:r>
    </w:p>
    <w:p w14:paraId="0ED3BD9E" w14:textId="5F16B405" w:rsidR="00031310" w:rsidRDefault="00EA4C4E" w:rsidP="00AD0E5A">
      <w:pPr>
        <w:pStyle w:val="Heading3"/>
        <w:jc w:val="both"/>
      </w:pPr>
      <w:bookmarkStart w:id="29" w:name="_Toc181041684"/>
      <w:r>
        <w:t xml:space="preserve">3.1.4 </w:t>
      </w:r>
      <w:bookmarkStart w:id="30" w:name="evaporation-from-bare-soil-surfaces"/>
      <w:r>
        <w:t>Evaporation from Bare Soil Surfaces</w:t>
      </w:r>
      <w:bookmarkEnd w:id="29"/>
      <w:bookmarkEnd w:id="30"/>
    </w:p>
    <w:p w14:paraId="6C1E1928" w14:textId="77777777" w:rsidR="00031310" w:rsidRDefault="00EA4C4E" w:rsidP="00AD0E5A">
      <w:pPr>
        <w:pStyle w:val="FirstParagraph"/>
        <w:jc w:val="both"/>
      </w:pPr>
      <w:r>
        <w:t>Calculating evaporation from bare soil surfaces requires calculating both potential evaporation (PET) from the unsaturated soil surface and actual evaporation from the saturated soil surface. As with evaporation from wet canopy, we begin with calculating the resistances to water vapor fluxes.</w:t>
      </w:r>
    </w:p>
    <w:p w14:paraId="59B80DAA" w14:textId="77777777" w:rsidR="00031310" w:rsidRDefault="00EA4C4E" w:rsidP="00AD0E5A">
      <w:pPr>
        <w:pStyle w:val="BodyText"/>
        <w:spacing w:before="120" w:after="120"/>
        <w:ind w:firstLine="432"/>
        <w:jc w:val="both"/>
      </w:pPr>
      <w:r>
        <w:rPr>
          <w:b/>
        </w:rPr>
        <w:lastRenderedPageBreak/>
        <w:t>The total aerodynamic resistance to water vapor</w:t>
      </w:r>
      <w:r w:rsidRPr="000213D6">
        <w:t>,</w:t>
      </w:r>
      <w:r>
        <w:t xml:space="preserve"> </w:t>
      </w:r>
      <m:oMath>
        <m:sSub>
          <m:sSubPr>
            <m:ctrlPr>
              <w:rPr>
                <w:rFonts w:ascii="Cambria Math" w:hAnsi="Cambria Math"/>
              </w:rPr>
            </m:ctrlPr>
          </m:sSubPr>
          <m:e>
            <m:r>
              <w:rPr>
                <w:rFonts w:ascii="Cambria Math" w:hAnsi="Cambria Math"/>
              </w:rPr>
              <m:t>r</m:t>
            </m:r>
          </m:e>
          <m:sub>
            <m:r>
              <m:rPr>
                <m:lit/>
                <m:nor/>
              </m:rPr>
              <w:rPr>
                <w:rFonts w:ascii="Cambria Math" w:hAnsi="Cambria Math"/>
              </w:rPr>
              <m:t>total</m:t>
            </m:r>
          </m:sub>
        </m:sSub>
      </m:oMath>
      <w:r>
        <w:t>, is given in terms of pre-determined (calibrated) quantities including:</w:t>
      </w:r>
    </w:p>
    <w:p w14:paraId="04F10F99" w14:textId="77777777" w:rsidR="00031310" w:rsidRDefault="00000000" w:rsidP="00AD0E5A">
      <w:pPr>
        <w:numPr>
          <w:ilvl w:val="0"/>
          <w:numId w:val="25"/>
        </w:numPr>
        <w:ind w:left="900" w:hanging="180"/>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BL,max</m:t>
            </m:r>
          </m:sub>
        </m:sSub>
      </m:oMath>
      <w:r w:rsidR="00EA4C4E">
        <w:t>, the maximum boundary-layer resistance;</w:t>
      </w:r>
    </w:p>
    <w:p w14:paraId="2EF01615" w14:textId="77777777" w:rsidR="00031310" w:rsidRDefault="00000000" w:rsidP="00AD0E5A">
      <w:pPr>
        <w:numPr>
          <w:ilvl w:val="0"/>
          <w:numId w:val="26"/>
        </w:numPr>
        <w:ind w:left="900" w:hanging="180"/>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BL,min</m:t>
            </m:r>
          </m:sub>
        </m:sSub>
      </m:oMath>
      <w:r w:rsidR="00EA4C4E">
        <w:t>, the minimum boundary-layer resistance;</w:t>
      </w:r>
    </w:p>
    <w:p w14:paraId="4B8BF1A1" w14:textId="77777777" w:rsidR="00031310" w:rsidRDefault="00000000" w:rsidP="00AD0E5A">
      <w:pPr>
        <w:numPr>
          <w:ilvl w:val="0"/>
          <w:numId w:val="27"/>
        </w:numPr>
        <w:ind w:left="900" w:hanging="180"/>
        <w:jc w:val="both"/>
      </w:pPr>
      <m:oMath>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oMath>
      <w:r w:rsidR="00EA4C4E">
        <w:t>, the vapor pressure deficit (VPD) at which stomata are almost completely closed due to water stress;</w:t>
      </w:r>
    </w:p>
    <w:p w14:paraId="52C18AB3" w14:textId="089B15F7" w:rsidR="00031310" w:rsidRDefault="00000000" w:rsidP="00AD0E5A">
      <w:pPr>
        <w:numPr>
          <w:ilvl w:val="0"/>
          <w:numId w:val="28"/>
        </w:numPr>
        <w:ind w:left="900" w:hanging="180"/>
        <w:jc w:val="both"/>
      </w:pPr>
      <m:oMath>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oMath>
      <w:r w:rsidR="00EA4C4E">
        <w:t xml:space="preserve">, the VPD at which stomata are almost completely open, i.e., experiencing </w:t>
      </w:r>
      <w:r w:rsidR="00284EAA">
        <w:t xml:space="preserve">minimal </w:t>
      </w:r>
      <w:r w:rsidR="00EA4C4E">
        <w:t>water stress.</w:t>
      </w:r>
    </w:p>
    <w:p w14:paraId="65F2CD5E" w14:textId="77777777" w:rsidR="00031310" w:rsidRDefault="00000000" w:rsidP="00AD0E5A">
      <w:pPr>
        <w:pStyle w:val="FirstParagraph"/>
        <w:spacing w:before="120" w:after="120"/>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total</m:t>
            </m:r>
          </m:sub>
        </m:sSub>
      </m:oMath>
      <w:r w:rsidR="00EA4C4E">
        <w:t xml:space="preserve"> strongly depends on the atmospheric demand for water vapor (i.e., VPD):</w:t>
      </w:r>
    </w:p>
    <w:p w14:paraId="2EBD6EE8" w14:textId="4319F499"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total</m:t>
            </m:r>
          </m:sub>
        </m:sSub>
        <m:r>
          <w:rPr>
            <w:rFonts w:ascii="Cambria Math" w:hAnsi="Cambria Math"/>
          </w:rPr>
          <m:t>=</m:t>
        </m:r>
        <m:sSub>
          <m:sSubPr>
            <m:ctrlPr>
              <w:rPr>
                <w:rFonts w:ascii="Cambria Math" w:hAnsi="Cambria Math"/>
              </w:rPr>
            </m:ctrlPr>
          </m:sSubPr>
          <m:e>
            <m:r>
              <w:rPr>
                <w:rFonts w:ascii="Cambria Math" w:hAnsi="Cambria Math"/>
              </w:rPr>
              <m:t>r</m:t>
            </m:r>
          </m:e>
          <m:sub>
            <m:r>
              <m:rPr>
                <m:lit/>
                <m:nor/>
              </m:rPr>
              <w:rPr>
                <w:rFonts w:ascii="Cambria Math" w:hAnsi="Cambria Math"/>
              </w:rPr>
              <m:t>corr</m:t>
            </m:r>
          </m:sub>
        </m:sSub>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lit/>
                          <m:nor/>
                        </m:rPr>
                        <w:rPr>
                          <w:rFonts w:ascii="Cambria Math" w:hAnsi="Cambria Math"/>
                        </w:rPr>
                        <m:t>BL,m</m:t>
                      </m:r>
                      <m:r>
                        <m:rPr>
                          <m:nor/>
                        </m:rPr>
                        <w:rPr>
                          <w:rFonts w:ascii="Cambria Math" w:hAnsi="Cambria Math"/>
                        </w:rPr>
                        <m:t>in</m:t>
                      </m:r>
                    </m:sub>
                  </m:sSub>
                </m:e>
                <m:e>
                  <m:r>
                    <m:rPr>
                      <m:lit/>
                      <m:nor/>
                    </m:rPr>
                    <w:rPr>
                      <w:rFonts w:ascii="Cambria Math" w:hAnsi="Cambria Math"/>
                    </w:rPr>
                    <m:t>VPD</m:t>
                  </m:r>
                  <m:r>
                    <w:rPr>
                      <w:rFonts w:ascii="Cambria Math" w:hAnsi="Cambria Math"/>
                    </w:rPr>
                    <m: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e>
              </m:mr>
              <m:mr>
                <m:e>
                  <m:sSub>
                    <m:sSubPr>
                      <m:ctrlPr>
                        <w:rPr>
                          <w:rFonts w:ascii="Cambria Math" w:hAnsi="Cambria Math"/>
                        </w:rPr>
                      </m:ctrlPr>
                    </m:sSubPr>
                    <m:e>
                      <m:r>
                        <w:rPr>
                          <w:rFonts w:ascii="Cambria Math" w:hAnsi="Cambria Math"/>
                        </w:rPr>
                        <m:t>r</m:t>
                      </m:r>
                    </m:e>
                    <m:sub>
                      <m:r>
                        <m:rPr>
                          <m:lit/>
                          <m:nor/>
                        </m:rPr>
                        <w:rPr>
                          <w:rFonts w:ascii="Cambria Math" w:hAnsi="Cambria Math"/>
                        </w:rPr>
                        <m:t>BL,max</m:t>
                      </m:r>
                    </m:sub>
                  </m:sSub>
                  <m: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r</m:t>
                              </m:r>
                            </m:e>
                            <m:sub>
                              <m:r>
                                <m:rPr>
                                  <m:lit/>
                                  <m:nor/>
                                </m:rPr>
                                <w:rPr>
                                  <w:rFonts w:ascii="Cambria Math" w:hAnsi="Cambria Math"/>
                                </w:rPr>
                                <m:t>BL,max</m:t>
                              </m:r>
                            </m:sub>
                          </m:sSub>
                          <m:r>
                            <w:rPr>
                              <w:rFonts w:ascii="Cambria Math" w:hAnsi="Cambria Math"/>
                            </w:rPr>
                            <m:t>-</m:t>
                          </m:r>
                          <m:sSub>
                            <m:sSubPr>
                              <m:ctrlPr>
                                <w:rPr>
                                  <w:rFonts w:ascii="Cambria Math" w:hAnsi="Cambria Math"/>
                                </w:rPr>
                              </m:ctrlPr>
                            </m:sSubPr>
                            <m:e>
                              <m:r>
                                <w:rPr>
                                  <w:rFonts w:ascii="Cambria Math" w:hAnsi="Cambria Math"/>
                                </w:rPr>
                                <m:t>r</m:t>
                              </m:r>
                            </m:e>
                            <m:sub>
                              <m:r>
                                <m:rPr>
                                  <m:lit/>
                                  <m:nor/>
                                </m:rPr>
                                <w:rPr>
                                  <w:rFonts w:ascii="Cambria Math" w:hAnsi="Cambria Math"/>
                                </w:rPr>
                                <m:t>BL,min</m:t>
                              </m:r>
                            </m:sub>
                          </m:sSub>
                        </m:e>
                      </m:d>
                      <m:d>
                        <m:dPr>
                          <m:ctrlPr>
                            <w:rPr>
                              <w:rFonts w:ascii="Cambria Math" w:hAnsi="Cambria Math"/>
                            </w:rPr>
                          </m:ctrlPr>
                        </m:dPr>
                        <m:e>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r>
                            <w:rPr>
                              <w:rFonts w:ascii="Cambria Math" w:hAnsi="Cambria Math"/>
                            </w:rPr>
                            <m:t>-</m:t>
                          </m:r>
                          <m:r>
                            <m:rPr>
                              <m:lit/>
                              <m:nor/>
                            </m:rPr>
                            <w:rPr>
                              <w:rFonts w:ascii="Cambria Math" w:hAnsi="Cambria Math"/>
                            </w:rPr>
                            <m:t>VPD</m:t>
                          </m:r>
                        </m:e>
                      </m:d>
                    </m:num>
                    <m:den>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r>
                        <w:rPr>
                          <w:rFonts w:ascii="Cambria Math" w:hAnsi="Cambria Math"/>
                        </w:rPr>
                        <m: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den>
                  </m:f>
                </m:e>
                <m:e>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r>
                    <w:rPr>
                      <w:rFonts w:ascii="Cambria Math" w:hAnsi="Cambria Math"/>
                    </w:rPr>
                    <m:t>&lt;</m:t>
                  </m:r>
                  <m:r>
                    <m:rPr>
                      <m:lit/>
                      <m:nor/>
                    </m:rPr>
                    <w:rPr>
                      <w:rFonts w:ascii="Cambria Math" w:hAnsi="Cambria Math"/>
                    </w:rPr>
                    <m:t>VPD</m:t>
                  </m:r>
                  <m:r>
                    <w:rPr>
                      <w:rFonts w:ascii="Cambria Math" w:hAnsi="Cambria Math"/>
                    </w:rPr>
                    <m:t>&lt;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e>
              </m:mr>
              <m:mr>
                <m:e>
                  <m:sSub>
                    <m:sSubPr>
                      <m:ctrlPr>
                        <w:rPr>
                          <w:rFonts w:ascii="Cambria Math" w:hAnsi="Cambria Math"/>
                        </w:rPr>
                      </m:ctrlPr>
                    </m:sSubPr>
                    <m:e>
                      <m:r>
                        <w:rPr>
                          <w:rFonts w:ascii="Cambria Math" w:hAnsi="Cambria Math"/>
                        </w:rPr>
                        <m:t>r</m:t>
                      </m:r>
                    </m:e>
                    <m:sub>
                      <m:r>
                        <m:rPr>
                          <m:lit/>
                          <m:nor/>
                        </m:rPr>
                        <w:rPr>
                          <w:rFonts w:ascii="Cambria Math" w:hAnsi="Cambria Math"/>
                        </w:rPr>
                        <m:t>BL,m</m:t>
                      </m:r>
                      <m:r>
                        <m:rPr>
                          <m:nor/>
                        </m:rPr>
                        <w:rPr>
                          <w:rFonts w:ascii="Cambria Math" w:hAnsi="Cambria Math"/>
                        </w:rPr>
                        <m:t>ax</m:t>
                      </m:r>
                    </m:sub>
                  </m:sSub>
                </m:e>
                <m:e>
                  <m:r>
                    <m:rPr>
                      <m:lit/>
                      <m:nor/>
                    </m:rPr>
                    <w:rPr>
                      <w:rFonts w:ascii="Cambria Math" w:hAnsi="Cambria Math"/>
                    </w:rPr>
                    <m:t>VPD</m:t>
                  </m:r>
                  <m:r>
                    <w:rPr>
                      <w:rFonts w:ascii="Cambria Math" w:hAnsi="Cambria Math"/>
                    </w:rPr>
                    <m: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e>
              </m:mr>
            </m:m>
          </m:e>
        </m:d>
      </m:oMath>
      <w:r w:rsidR="004A2262">
        <w:tab/>
        <w:t>(3.22)</w:t>
      </w:r>
    </w:p>
    <w:p w14:paraId="3454995E" w14:textId="77777777" w:rsidR="00031310" w:rsidRDefault="00EA4C4E" w:rsidP="00AD0E5A">
      <w:pPr>
        <w:pStyle w:val="FirstParagraph"/>
        <w:spacing w:before="120"/>
        <w:jc w:val="both"/>
      </w:pPr>
      <w:r>
        <w:t xml:space="preserve">Essentially, when VPD is low (less than or equal to </w:t>
      </w:r>
      <m:oMath>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oMath>
      <w:r>
        <w:t>), the boundary-layer resistance is at its maximum (</w:t>
      </w:r>
      <m:oMath>
        <m:sSub>
          <m:sSubPr>
            <m:ctrlPr>
              <w:rPr>
                <w:rFonts w:ascii="Cambria Math" w:hAnsi="Cambria Math"/>
              </w:rPr>
            </m:ctrlPr>
          </m:sSubPr>
          <m:e>
            <m:r>
              <w:rPr>
                <w:rFonts w:ascii="Cambria Math" w:hAnsi="Cambria Math"/>
              </w:rPr>
              <m:t>r</m:t>
            </m:r>
          </m:e>
          <m:sub>
            <m:r>
              <m:rPr>
                <m:lit/>
                <m:nor/>
              </m:rPr>
              <w:rPr>
                <w:rFonts w:ascii="Cambria Math" w:hAnsi="Cambria Math"/>
              </w:rPr>
              <m:t>BL,max</m:t>
            </m:r>
          </m:sub>
        </m:sSub>
      </m:oMath>
      <w:r>
        <w:t xml:space="preserve">); the atmosphere’s demand for water is very low, so there is greater resistance to accepting more water vapor from the surface. When VPD is high, (greater than or equal to </w:t>
      </w:r>
      <m:oMath>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oMath>
      <w:r>
        <w:t>), atmospheric water vapor is relatively scarce and the boundary-layer resistance is at a minimum. In between these two extremes, we linearly interpolate the boundary layer resistance.</w:t>
      </w:r>
    </w:p>
    <w:p w14:paraId="2C8C71E2" w14:textId="77777777" w:rsidR="00031310" w:rsidRDefault="00EA4C4E" w:rsidP="00AD0E5A">
      <w:pPr>
        <w:pStyle w:val="BodyText"/>
        <w:spacing w:before="120" w:after="120"/>
        <w:ind w:firstLine="432"/>
        <w:jc w:val="both"/>
      </w:pPr>
      <w:r>
        <w:rPr>
          <w:b/>
        </w:rPr>
        <w:t xml:space="preserve">As the conductance of water vapor through the air varies with the air’s temperature and pressure, and because prescribed values are assumed to be representative of standard temperature (293.15 deg K) and pressure (101300 Pa) conditions, a correction factor, </w:t>
      </w:r>
      <m:oMath>
        <m:sSub>
          <m:sSubPr>
            <m:ctrlPr>
              <w:rPr>
                <w:rFonts w:ascii="Cambria Math" w:hAnsi="Cambria Math"/>
              </w:rPr>
            </m:ctrlPr>
          </m:sSubPr>
          <m:e>
            <m:r>
              <w:rPr>
                <w:rFonts w:ascii="Cambria Math" w:hAnsi="Cambria Math"/>
              </w:rPr>
              <m:t>r</m:t>
            </m:r>
          </m:e>
          <m:sub>
            <m:r>
              <m:rPr>
                <m:lit/>
                <m:nor/>
              </m:rPr>
              <w:rPr>
                <w:rFonts w:ascii="Cambria Math" w:hAnsi="Cambria Math"/>
              </w:rPr>
              <m:t>corr</m:t>
            </m:r>
          </m:sub>
        </m:sSub>
      </m:oMath>
      <w:r>
        <w:rPr>
          <w:b/>
        </w:rPr>
        <w:t>, is applied; this is used elsewhere as well:</w:t>
      </w:r>
    </w:p>
    <w:p w14:paraId="22F9B090" w14:textId="6DA95453"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corr</m:t>
            </m:r>
          </m:sub>
        </m:sSub>
        <m: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101300</m:t>
                    </m:r>
                  </m:num>
                  <m:den>
                    <m:sSub>
                      <m:sSubPr>
                        <m:ctrlPr>
                          <w:rPr>
                            <w:rFonts w:ascii="Cambria Math" w:hAnsi="Cambria Math"/>
                          </w:rPr>
                        </m:ctrlPr>
                      </m:sSubPr>
                      <m:e>
                        <m:r>
                          <w:rPr>
                            <w:rFonts w:ascii="Cambria Math" w:hAnsi="Cambria Math"/>
                          </w:rPr>
                          <m:t>P</m:t>
                        </m:r>
                      </m:e>
                      <m:sub>
                        <m:r>
                          <w:rPr>
                            <w:rFonts w:ascii="Cambria Math" w:hAnsi="Cambria Math"/>
                          </w:rPr>
                          <m:t>a</m:t>
                        </m:r>
                      </m:sub>
                    </m:sSub>
                  </m:den>
                </m:f>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T</m:t>
                            </m:r>
                          </m:num>
                          <m:den>
                            <m:r>
                              <w:rPr>
                                <w:rFonts w:ascii="Cambria Math" w:hAnsi="Cambria Math"/>
                              </w:rPr>
                              <m:t>293.15</m:t>
                            </m:r>
                          </m:den>
                        </m:f>
                      </m:e>
                    </m:d>
                  </m:e>
                  <m:sup>
                    <m:r>
                      <w:rPr>
                        <w:rFonts w:ascii="Cambria Math" w:hAnsi="Cambria Math"/>
                      </w:rPr>
                      <m:t>1.75</m:t>
                    </m:r>
                  </m:sup>
                </m:sSup>
              </m:e>
            </m:d>
          </m:e>
          <m:sup>
            <m:r>
              <w:rPr>
                <w:rFonts w:ascii="Cambria Math" w:hAnsi="Cambria Math"/>
              </w:rPr>
              <m:t>-1</m:t>
            </m:r>
          </m:sup>
        </m:sSup>
      </m:oMath>
      <w:r w:rsidR="00EA4C4E">
        <w:tab/>
      </w:r>
      <w:r w:rsidR="00EA4C4E">
        <w:tab/>
      </w:r>
      <w:r w:rsidR="004A2262">
        <w:tab/>
      </w:r>
      <w:r w:rsidR="004A2262">
        <w:tab/>
      </w:r>
      <w:r w:rsidR="004A2262">
        <w:tab/>
      </w:r>
      <w:r w:rsidR="004A2262">
        <w:tab/>
      </w:r>
      <w:r w:rsidR="004A2262">
        <w:tab/>
      </w:r>
      <w:r w:rsidR="00EA4C4E">
        <w:t>(</w:t>
      </w:r>
      <w:r w:rsidR="004A2262">
        <w:t>3.23</w:t>
      </w:r>
      <w:r w:rsidR="00EA4C4E">
        <w:t>)</w:t>
      </w:r>
    </w:p>
    <w:p w14:paraId="5FF74666" w14:textId="422B9833" w:rsidR="00031310" w:rsidRDefault="00EA4C4E" w:rsidP="00AD0E5A">
      <w:pPr>
        <w:pStyle w:val="FirstParagraph"/>
        <w:spacing w:before="120" w:after="120"/>
        <w:jc w:val="both"/>
      </w:pPr>
      <w:r>
        <w:rPr>
          <w:b/>
        </w:rPr>
        <w:t>Aerodynamic resistance at the soil surface</w:t>
      </w:r>
      <w:r w:rsidRPr="000213D6">
        <w:t>,</w:t>
      </w:r>
      <w:r>
        <w:t xml:space="preserve"> </w:t>
      </w:r>
      <m:oMath>
        <m:sSub>
          <m:sSubPr>
            <m:ctrlPr>
              <w:rPr>
                <w:rFonts w:ascii="Cambria Math" w:hAnsi="Cambria Math"/>
              </w:rPr>
            </m:ctrlPr>
          </m:sSubPr>
          <m:e>
            <m:r>
              <w:rPr>
                <w:rFonts w:ascii="Cambria Math" w:hAnsi="Cambria Math"/>
              </w:rPr>
              <m:t>r</m:t>
            </m:r>
          </m:e>
          <m:sub>
            <m:r>
              <m:rPr>
                <m:lit/>
                <m:nor/>
              </m:rPr>
              <w:rPr>
                <w:rFonts w:ascii="Cambria Math" w:hAnsi="Cambria Math"/>
              </w:rPr>
              <m:t>AS</m:t>
            </m:r>
          </m:sub>
        </m:sSub>
      </m:oMath>
      <w:r>
        <w:t xml:space="preserve">, is calculated as the parallel resistance of </w:t>
      </w:r>
      <m:oMath>
        <m:sSub>
          <m:sSubPr>
            <m:ctrlPr>
              <w:rPr>
                <w:rFonts w:ascii="Cambria Math" w:hAnsi="Cambria Math"/>
              </w:rPr>
            </m:ctrlPr>
          </m:sSubPr>
          <m:e>
            <m:r>
              <w:rPr>
                <w:rFonts w:ascii="Cambria Math" w:hAnsi="Cambria Math"/>
              </w:rPr>
              <m:t>r</m:t>
            </m:r>
          </m:e>
          <m:sub>
            <m:r>
              <w:rPr>
                <w:rFonts w:ascii="Cambria Math" w:hAnsi="Cambria Math"/>
              </w:rPr>
              <m:t>R</m:t>
            </m:r>
          </m:sub>
        </m:sSub>
      </m:oMath>
      <w:r>
        <w:t xml:space="preserve"> (Equation </w:t>
      </w:r>
      <w:r w:rsidR="00626D33">
        <w:t>3.17</w:t>
      </w:r>
      <w:r>
        <w:t xml:space="preserve">) and </w:t>
      </w:r>
      <m:oMath>
        <m:sSub>
          <m:sSubPr>
            <m:ctrlPr>
              <w:rPr>
                <w:rFonts w:ascii="Cambria Math" w:hAnsi="Cambria Math"/>
              </w:rPr>
            </m:ctrlPr>
          </m:sSubPr>
          <m:e>
            <m:r>
              <w:rPr>
                <w:rFonts w:ascii="Cambria Math" w:hAnsi="Cambria Math"/>
              </w:rPr>
              <m:t>r</m:t>
            </m:r>
          </m:e>
          <m:sub>
            <m:r>
              <m:rPr>
                <m:lit/>
                <m:nor/>
              </m:rPr>
              <w:rPr>
                <w:rFonts w:ascii="Cambria Math" w:hAnsi="Cambria Math"/>
              </w:rPr>
              <m:t>total</m:t>
            </m:r>
          </m:sub>
        </m:sSub>
      </m:oMath>
      <w:r>
        <w:t>:</w:t>
      </w:r>
    </w:p>
    <w:p w14:paraId="2C5498D6" w14:textId="406B5399"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AS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m:t>
                </m:r>
              </m:sub>
            </m:sSub>
            <m:sSub>
              <m:sSubPr>
                <m:ctrlPr>
                  <w:rPr>
                    <w:rFonts w:ascii="Cambria Math" w:hAnsi="Cambria Math"/>
                  </w:rPr>
                </m:ctrlPr>
              </m:sSubPr>
              <m:e>
                <m:r>
                  <w:rPr>
                    <w:rFonts w:ascii="Cambria Math" w:hAnsi="Cambria Math"/>
                  </w:rPr>
                  <m:t>r</m:t>
                </m:r>
              </m:e>
              <m:sub>
                <m:r>
                  <m:rPr>
                    <m:lit/>
                    <m:nor/>
                  </m:rPr>
                  <w:rPr>
                    <w:rFonts w:ascii="Cambria Math" w:hAnsi="Cambria Math"/>
                  </w:rPr>
                  <m:t>total</m:t>
                </m:r>
              </m:sub>
            </m:sSub>
          </m:num>
          <m:den>
            <m:sSub>
              <m:sSubPr>
                <m:ctrlPr>
                  <w:rPr>
                    <w:rFonts w:ascii="Cambria Math" w:hAnsi="Cambria Math"/>
                  </w:rPr>
                </m:ctrlPr>
              </m:sSubPr>
              <m:e>
                <m:r>
                  <w:rPr>
                    <w:rFonts w:ascii="Cambria Math" w:hAnsi="Cambria Math"/>
                  </w:rPr>
                  <m:t>r</m:t>
                </m:r>
              </m:e>
              <m:sub>
                <m:r>
                  <w:rPr>
                    <w:rFonts w:ascii="Cambria Math" w:hAnsi="Cambria Math"/>
                  </w:rPr>
                  <m:t>R</m:t>
                </m:r>
              </m:sub>
            </m:sSub>
            <m:r>
              <w:rPr>
                <w:rFonts w:ascii="Cambria Math" w:hAnsi="Cambria Math"/>
              </w:rPr>
              <m:t>+</m:t>
            </m:r>
            <m:sSub>
              <m:sSubPr>
                <m:ctrlPr>
                  <w:rPr>
                    <w:rFonts w:ascii="Cambria Math" w:hAnsi="Cambria Math"/>
                  </w:rPr>
                </m:ctrlPr>
              </m:sSubPr>
              <m:e>
                <m:r>
                  <w:rPr>
                    <w:rFonts w:ascii="Cambria Math" w:hAnsi="Cambria Math"/>
                  </w:rPr>
                  <m:t>r</m:t>
                </m:r>
              </m:e>
              <m:sub>
                <m:r>
                  <m:rPr>
                    <m:lit/>
                    <m:nor/>
                  </m:rPr>
                  <w:rPr>
                    <w:rFonts w:ascii="Cambria Math" w:hAnsi="Cambria Math"/>
                  </w:rPr>
                  <m:t>total</m:t>
                </m:r>
              </m:sub>
            </m:sSub>
          </m:den>
        </m:f>
      </m:oMath>
      <w:r w:rsidR="004A2262">
        <w:tab/>
      </w:r>
      <w:r w:rsidR="004A2262">
        <w:tab/>
      </w:r>
      <w:r w:rsidR="004A2262">
        <w:tab/>
      </w:r>
      <w:r w:rsidR="004A2262">
        <w:tab/>
      </w:r>
      <w:r w:rsidR="004A2262">
        <w:tab/>
      </w:r>
      <w:r w:rsidR="004A2262">
        <w:tab/>
      </w:r>
      <w:r w:rsidR="004A2262">
        <w:tab/>
      </w:r>
      <w:r w:rsidR="004A2262">
        <w:tab/>
      </w:r>
      <w:r w:rsidR="004A2262">
        <w:tab/>
        <w:t>(3.24)</w:t>
      </w:r>
    </w:p>
    <w:p w14:paraId="44782528" w14:textId="4D6A2BEF" w:rsidR="00031310" w:rsidRDefault="000213D6" w:rsidP="00AD0E5A">
      <w:pPr>
        <w:pStyle w:val="FirstParagraph"/>
        <w:spacing w:before="120" w:after="120"/>
        <w:jc w:val="both"/>
      </w:pPr>
      <w:r>
        <w:t>Potential e</w:t>
      </w:r>
      <w:r w:rsidR="00EA4C4E">
        <w:t>vaporation from the soil consists of the same, core PM equation:</w:t>
      </w:r>
    </w:p>
    <w:p w14:paraId="50363A16" w14:textId="519DF89E" w:rsidR="00031310" w:rsidRDefault="00EA4C4E" w:rsidP="00AD0E5A">
      <w:pPr>
        <w:pStyle w:val="BodyText"/>
        <w:jc w:val="both"/>
      </w:pPr>
      <m:oMath>
        <m:r>
          <w:rPr>
            <w:rFonts w:ascii="Cambria Math" w:hAnsi="Cambria Math"/>
          </w:rPr>
          <m:t>λ</m:t>
        </m:r>
        <m:sSubSup>
          <m:sSubSupPr>
            <m:ctrlPr>
              <w:rPr>
                <w:rFonts w:ascii="Cambria Math" w:hAnsi="Cambria Math"/>
              </w:rPr>
            </m:ctrlPr>
          </m:sSubSupPr>
          <m:e>
            <m:r>
              <w:rPr>
                <w:rFonts w:ascii="Cambria Math" w:hAnsi="Cambria Math"/>
              </w:rPr>
              <m:t>E</m:t>
            </m:r>
          </m:e>
          <m:sub>
            <m:r>
              <m:rPr>
                <m:lit/>
                <m:nor/>
              </m:rPr>
              <w:rPr>
                <w:rFonts w:ascii="Cambria Math" w:hAnsi="Cambria Math"/>
              </w:rPr>
              <m:t>soil</m:t>
            </m:r>
          </m:sub>
          <m:sup>
            <m:r>
              <m:rPr>
                <m:lit/>
                <m:nor/>
              </m:rPr>
              <w:rPr>
                <w:rFonts w:ascii="Cambria Math" w:hAnsi="Cambria Math"/>
              </w:rPr>
              <m:t>*</m:t>
            </m:r>
          </m:sup>
        </m:sSubSup>
        <m:r>
          <w:rPr>
            <w:rFonts w:ascii="Cambria Math" w:hAnsi="Cambria Math"/>
          </w:rPr>
          <m:t>=</m:t>
        </m:r>
        <m:f>
          <m:fPr>
            <m:ctrlPr>
              <w:rPr>
                <w:rFonts w:ascii="Cambria Math" w:hAnsi="Cambria Math"/>
              </w:rPr>
            </m:ctrlPr>
          </m:fPr>
          <m:num>
            <m:r>
              <w:rPr>
                <w:rFonts w:ascii="Cambria Math" w:hAnsi="Cambria Math"/>
              </w:rPr>
              <m:t>s</m:t>
            </m:r>
            <m:sSub>
              <m:sSubPr>
                <m:ctrlPr>
                  <w:rPr>
                    <w:rFonts w:ascii="Cambria Math" w:hAnsi="Cambria Math"/>
                  </w:rPr>
                </m:ctrlPr>
              </m:sSubPr>
              <m:e>
                <m:r>
                  <w:rPr>
                    <w:rFonts w:ascii="Cambria Math" w:hAnsi="Cambria Math"/>
                  </w:rPr>
                  <m:t>A</m:t>
                </m:r>
              </m:e>
              <m:sub>
                <m:r>
                  <m:rPr>
                    <m:lit/>
                    <m:nor/>
                  </m:rPr>
                  <w:rPr>
                    <w:rFonts w:ascii="Cambria Math" w:hAnsi="Cambria Math"/>
                  </w:rPr>
                  <m:t>soil</m:t>
                </m:r>
              </m:sub>
            </m:sSub>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p</m:t>
                </m:r>
              </m:sub>
            </m:sSub>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C</m:t>
                    </m:r>
                  </m:sub>
                </m:sSub>
              </m:e>
            </m:d>
            <m:d>
              <m:dPr>
                <m:begChr m:val="["/>
                <m:endChr m:val="]"/>
                <m:ctrlPr>
                  <w:rPr>
                    <w:rFonts w:ascii="Cambria Math" w:hAnsi="Cambria Math"/>
                  </w:rPr>
                </m:ctrlPr>
              </m:dPr>
              <m:e>
                <m:r>
                  <m:rPr>
                    <m:lit/>
                    <m:nor/>
                  </m:rPr>
                  <w:rPr>
                    <w:rFonts w:ascii="Cambria Math" w:hAnsi="Cambria Math"/>
                  </w:rPr>
                  <m:t>VPD</m:t>
                </m:r>
              </m:e>
            </m:d>
            <m:sSubSup>
              <m:sSubSupPr>
                <m:ctrlPr>
                  <w:rPr>
                    <w:rFonts w:ascii="Cambria Math" w:hAnsi="Cambria Math"/>
                  </w:rPr>
                </m:ctrlPr>
              </m:sSubSupPr>
              <m:e>
                <m:r>
                  <w:rPr>
                    <w:rFonts w:ascii="Cambria Math" w:hAnsi="Cambria Math"/>
                  </w:rPr>
                  <m:t>r</m:t>
                </m:r>
              </m:e>
              <m:sub>
                <m:r>
                  <m:rPr>
                    <m:lit/>
                    <m:nor/>
                  </m:rPr>
                  <w:rPr>
                    <w:rFonts w:ascii="Cambria Math" w:hAnsi="Cambria Math"/>
                  </w:rPr>
                  <m:t>AS</m:t>
                </m:r>
              </m:sub>
              <m:sup>
                <m:r>
                  <w:rPr>
                    <w:rFonts w:ascii="Cambria Math" w:hAnsi="Cambria Math"/>
                  </w:rPr>
                  <m:t>-1</m:t>
                </m:r>
              </m:sup>
            </m:sSubSup>
          </m:num>
          <m:den>
            <m:r>
              <w:rPr>
                <w:rFonts w:ascii="Cambria Math" w:hAnsi="Cambria Math"/>
              </w:rPr>
              <m:t>s+γ</m:t>
            </m:r>
            <m:sSub>
              <m:sSubPr>
                <m:ctrlPr>
                  <w:rPr>
                    <w:rFonts w:ascii="Cambria Math" w:hAnsi="Cambria Math"/>
                  </w:rPr>
                </m:ctrlPr>
              </m:sSubPr>
              <m:e>
                <m:r>
                  <w:rPr>
                    <w:rFonts w:ascii="Cambria Math" w:hAnsi="Cambria Math"/>
                  </w:rPr>
                  <m:t>r</m:t>
                </m:r>
              </m:e>
              <m:sub>
                <m:r>
                  <m:rPr>
                    <m:lit/>
                    <m:nor/>
                  </m:rPr>
                  <w:rPr>
                    <w:rFonts w:ascii="Cambria Math" w:hAnsi="Cambria Math"/>
                  </w:rPr>
                  <m:t>total</m:t>
                </m:r>
              </m:sub>
            </m:sSub>
            <m:sSubSup>
              <m:sSubSupPr>
                <m:ctrlPr>
                  <w:rPr>
                    <w:rFonts w:ascii="Cambria Math" w:hAnsi="Cambria Math"/>
                  </w:rPr>
                </m:ctrlPr>
              </m:sSubSupPr>
              <m:e>
                <m:r>
                  <w:rPr>
                    <w:rFonts w:ascii="Cambria Math" w:hAnsi="Cambria Math"/>
                  </w:rPr>
                  <m:t>r</m:t>
                </m:r>
              </m:e>
              <m:sub>
                <m:r>
                  <m:rPr>
                    <m:lit/>
                    <m:nor/>
                  </m:rPr>
                  <w:rPr>
                    <w:rFonts w:ascii="Cambria Math" w:hAnsi="Cambria Math"/>
                  </w:rPr>
                  <m:t>AS</m:t>
                </m:r>
              </m:sub>
              <m:sup>
                <m:r>
                  <w:rPr>
                    <w:rFonts w:ascii="Cambria Math" w:hAnsi="Cambria Math"/>
                  </w:rPr>
                  <m:t>-1</m:t>
                </m:r>
              </m:sup>
            </m:sSubSup>
          </m:den>
        </m:f>
      </m:oMath>
      <w:r w:rsidR="004A2262">
        <w:tab/>
      </w:r>
      <w:r w:rsidR="004A2262">
        <w:tab/>
      </w:r>
      <w:r w:rsidR="004A2262">
        <w:tab/>
      </w:r>
      <w:r w:rsidR="004A2262">
        <w:tab/>
      </w:r>
      <w:r w:rsidR="004A2262">
        <w:tab/>
      </w:r>
      <w:r w:rsidR="004A2262">
        <w:tab/>
      </w:r>
      <w:r w:rsidR="004A2262">
        <w:tab/>
        <w:t>(3.</w:t>
      </w:r>
      <w:r w:rsidR="004A644A">
        <w:t>2</w:t>
      </w:r>
      <w:r w:rsidR="004A2262">
        <w:t>5)</w:t>
      </w:r>
    </w:p>
    <w:p w14:paraId="4B5F2D91" w14:textId="5943AE07" w:rsidR="00031310" w:rsidRDefault="00E01552" w:rsidP="00AD0E5A">
      <w:pPr>
        <w:pStyle w:val="FirstParagraph"/>
        <w:spacing w:before="120" w:after="120"/>
        <w:jc w:val="both"/>
      </w:pPr>
      <w:r>
        <w:t xml:space="preserve">where </w:t>
      </w:r>
      <m:oMath>
        <m:sSub>
          <m:sSubPr>
            <m:ctrlPr>
              <w:rPr>
                <w:rFonts w:ascii="Cambria Math" w:hAnsi="Cambria Math"/>
              </w:rPr>
            </m:ctrlPr>
          </m:sSubPr>
          <m:e>
            <m:r>
              <w:rPr>
                <w:rFonts w:ascii="Cambria Math" w:hAnsi="Cambria Math"/>
              </w:rPr>
              <m:t>A</m:t>
            </m:r>
          </m:e>
          <m:sub>
            <m:r>
              <m:rPr>
                <m:lit/>
                <m:nor/>
              </m:rPr>
              <w:rPr>
                <w:rFonts w:ascii="Cambria Math" w:hAnsi="Cambria Math"/>
              </w:rPr>
              <m:t>soil</m:t>
            </m:r>
          </m:sub>
        </m:sSub>
      </m:oMath>
      <w:r w:rsidR="00EA4C4E">
        <w:t xml:space="preserve"> is calculated as in Equation </w:t>
      </w:r>
      <w:r w:rsidR="00626D33">
        <w:t>3.2</w:t>
      </w:r>
      <w:r w:rsidR="00EA4C4E">
        <w:t>. But actual evaporation from the saturated soil surface is calculated</w:t>
      </w:r>
      <w:r w:rsidR="00284EAA">
        <w:t xml:space="preserve"> as</w:t>
      </w:r>
      <w:r w:rsidR="00EA4C4E">
        <w:t>:</w:t>
      </w:r>
    </w:p>
    <w:p w14:paraId="1D63E9C5" w14:textId="287EB459" w:rsidR="00031310" w:rsidRDefault="00EA4C4E" w:rsidP="00AD0E5A">
      <w:pPr>
        <w:pStyle w:val="BodyText"/>
        <w:jc w:val="both"/>
      </w:pP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soil,sat</m:t>
            </m:r>
          </m:sub>
        </m:sSub>
        <m:r>
          <w:rPr>
            <w:rFonts w:ascii="Cambria Math" w:hAnsi="Cambria Math"/>
          </w:rPr>
          <m:t>=</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r>
          <w:rPr>
            <w:rFonts w:ascii="Cambria Math" w:hAnsi="Cambria Math"/>
          </w:rPr>
          <m:t>λ</m:t>
        </m:r>
        <m:sSubSup>
          <m:sSubSupPr>
            <m:ctrlPr>
              <w:rPr>
                <w:rFonts w:ascii="Cambria Math" w:hAnsi="Cambria Math"/>
              </w:rPr>
            </m:ctrlPr>
          </m:sSubSupPr>
          <m:e>
            <m:r>
              <w:rPr>
                <w:rFonts w:ascii="Cambria Math" w:hAnsi="Cambria Math"/>
              </w:rPr>
              <m:t>E</m:t>
            </m:r>
          </m:e>
          <m:sub>
            <m:r>
              <m:rPr>
                <m:lit/>
                <m:nor/>
              </m:rPr>
              <w:rPr>
                <w:rFonts w:ascii="Cambria Math" w:hAnsi="Cambria Math"/>
              </w:rPr>
              <m:t>soil</m:t>
            </m:r>
          </m:sub>
          <m:sup>
            <m:r>
              <m:rPr>
                <m:lit/>
                <m:nor/>
              </m:rPr>
              <w:rPr>
                <w:rFonts w:ascii="Cambria Math" w:hAnsi="Cambria Math"/>
              </w:rPr>
              <m:t>*</m:t>
            </m:r>
          </m:sup>
        </m:sSubSup>
      </m:oMath>
      <w:r w:rsidR="004A2262">
        <w:tab/>
      </w:r>
      <w:r w:rsidR="004A2262">
        <w:tab/>
      </w:r>
      <w:r w:rsidR="004A2262">
        <w:tab/>
      </w:r>
      <w:r w:rsidR="004A2262">
        <w:tab/>
      </w:r>
      <w:r w:rsidR="004A2262">
        <w:tab/>
      </w:r>
      <w:r w:rsidR="004A2262">
        <w:tab/>
      </w:r>
      <w:r w:rsidR="004A2262">
        <w:tab/>
      </w:r>
      <w:r w:rsidR="004A2262">
        <w:tab/>
        <w:t>(3.26)</w:t>
      </w:r>
    </w:p>
    <w:p w14:paraId="1D0BF918" w14:textId="4A516EDE" w:rsidR="00031310" w:rsidRDefault="00284EAA" w:rsidP="00AD0E5A">
      <w:pPr>
        <w:pStyle w:val="FirstParagraph"/>
        <w:spacing w:before="120" w:after="120"/>
        <w:jc w:val="both"/>
      </w:pPr>
      <w:r>
        <w:t xml:space="preserve">where </w:t>
      </w:r>
      <m:oMath>
        <m:sSub>
          <m:sSubPr>
            <m:ctrlPr>
              <w:rPr>
                <w:rFonts w:ascii="Cambria Math" w:hAnsi="Cambria Math"/>
              </w:rPr>
            </m:ctrlPr>
          </m:sSubPr>
          <m:e>
            <m:r>
              <w:rPr>
                <w:rFonts w:ascii="Cambria Math" w:hAnsi="Cambria Math"/>
              </w:rPr>
              <m:t>F</m:t>
            </m:r>
          </m:e>
          <m:sub>
            <m:r>
              <m:rPr>
                <m:lit/>
                <m:nor/>
              </m:rPr>
              <w:rPr>
                <w:rFonts w:ascii="Cambria Math" w:hAnsi="Cambria Math"/>
              </w:rPr>
              <m:t>wet</m:t>
            </m:r>
          </m:sub>
        </m:sSub>
      </m:oMath>
      <w:r w:rsidR="00EA4C4E">
        <w:t xml:space="preserve"> is calculated as in Equation </w:t>
      </w:r>
      <w:r w:rsidR="00626D33">
        <w:t>3.9</w:t>
      </w:r>
      <w:r w:rsidR="00EA4C4E">
        <w:t>. While the actual evaporation of the unsaturated soil surface is calculated by scaling the potential evaporation by an empirical soil moisture constraint:</w:t>
      </w:r>
    </w:p>
    <w:p w14:paraId="6F5FCEFB" w14:textId="36AE44CC" w:rsidR="00031310" w:rsidRDefault="00EA4C4E" w:rsidP="00AD0E5A">
      <w:pPr>
        <w:pStyle w:val="BodyText"/>
        <w:jc w:val="both"/>
      </w:pPr>
      <m:oMath>
        <m:r>
          <w:rPr>
            <w:rFonts w:ascii="Cambria Math" w:hAnsi="Cambria Math"/>
          </w:rPr>
          <w:lastRenderedPageBreak/>
          <m:t>λ</m:t>
        </m:r>
        <m:sSub>
          <m:sSubPr>
            <m:ctrlPr>
              <w:rPr>
                <w:rFonts w:ascii="Cambria Math" w:hAnsi="Cambria Math"/>
              </w:rPr>
            </m:ctrlPr>
          </m:sSubPr>
          <m:e>
            <m:r>
              <w:rPr>
                <w:rFonts w:ascii="Cambria Math" w:hAnsi="Cambria Math"/>
              </w:rPr>
              <m:t>E</m:t>
            </m:r>
          </m:e>
          <m:sub>
            <m:r>
              <m:rPr>
                <m:lit/>
                <m:nor/>
              </m:rPr>
              <w:rPr>
                <w:rFonts w:ascii="Cambria Math" w:hAnsi="Cambria Math"/>
              </w:rPr>
              <m:t>unsat</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r>
          <w:rPr>
            <w:rFonts w:ascii="Cambria Math" w:hAnsi="Cambria Math"/>
          </w:rPr>
          <m:t>λ</m:t>
        </m:r>
        <m:sSubSup>
          <m:sSubSupPr>
            <m:ctrlPr>
              <w:rPr>
                <w:rFonts w:ascii="Cambria Math" w:hAnsi="Cambria Math"/>
              </w:rPr>
            </m:ctrlPr>
          </m:sSubSupPr>
          <m:e>
            <m:r>
              <w:rPr>
                <w:rFonts w:ascii="Cambria Math" w:hAnsi="Cambria Math"/>
              </w:rPr>
              <m:t>E</m:t>
            </m:r>
          </m:e>
          <m:sub>
            <m:r>
              <m:rPr>
                <m:lit/>
                <m:nor/>
              </m:rPr>
              <w:rPr>
                <w:rFonts w:ascii="Cambria Math" w:hAnsi="Cambria Math"/>
              </w:rPr>
              <m:t>soil</m:t>
            </m:r>
          </m:sub>
          <m:sup>
            <m:r>
              <m:rPr>
                <m:lit/>
                <m:nor/>
              </m:rPr>
              <w:rPr>
                <w:rFonts w:ascii="Cambria Math" w:hAnsi="Cambria Math"/>
              </w:rPr>
              <m:t>*</m:t>
            </m:r>
          </m:sup>
        </m:sSubSup>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lit/>
                        <m:nor/>
                      </m:rPr>
                      <w:rPr>
                        <w:rFonts w:ascii="Cambria Math" w:hAnsi="Cambria Math"/>
                      </w:rPr>
                      <m:t>RH</m:t>
                    </m:r>
                  </m:num>
                  <m:den>
                    <m:r>
                      <w:rPr>
                        <w:rFonts w:ascii="Cambria Math" w:hAnsi="Cambria Math"/>
                      </w:rPr>
                      <m:t>100</m:t>
                    </m:r>
                  </m:den>
                </m:f>
              </m:e>
            </m:d>
          </m:e>
          <m:sup>
            <m:f>
              <m:fPr>
                <m:type m:val="lin"/>
                <m:ctrlPr>
                  <w:rPr>
                    <w:rFonts w:ascii="Cambria Math" w:hAnsi="Cambria Math"/>
                  </w:rPr>
                </m:ctrlPr>
              </m:fPr>
              <m:num>
                <m:r>
                  <m:rPr>
                    <m:lit/>
                    <m:nor/>
                  </m:rPr>
                  <w:rPr>
                    <w:rFonts w:ascii="Cambria Math" w:hAnsi="Cambria Math"/>
                  </w:rPr>
                  <m:t>VPD</m:t>
                </m:r>
              </m:num>
              <m:den>
                <m:r>
                  <w:rPr>
                    <w:rFonts w:ascii="Cambria Math" w:hAnsi="Cambria Math"/>
                  </w:rPr>
                  <m:t>β</m:t>
                </m:r>
              </m:den>
            </m:f>
          </m:sup>
        </m:sSup>
      </m:oMath>
      <w:r w:rsidR="004A2262">
        <w:tab/>
      </w:r>
      <w:r w:rsidR="004A2262">
        <w:tab/>
      </w:r>
      <w:r w:rsidR="004A2262">
        <w:tab/>
      </w:r>
      <w:r w:rsidR="004A2262">
        <w:tab/>
      </w:r>
      <w:r w:rsidR="004A2262">
        <w:tab/>
      </w:r>
      <w:r w:rsidR="004A2262">
        <w:tab/>
        <w:t>(3.27)</w:t>
      </w:r>
    </w:p>
    <w:p w14:paraId="4994550A" w14:textId="7C7E08ED" w:rsidR="00031310" w:rsidRDefault="00284EAA" w:rsidP="00AD0E5A">
      <w:pPr>
        <w:pStyle w:val="FirstParagraph"/>
        <w:spacing w:before="120" w:after="120"/>
        <w:jc w:val="both"/>
      </w:pPr>
      <w:r>
        <w:t xml:space="preserve">where </w:t>
      </w:r>
      <w:r w:rsidR="00EA4C4E">
        <w:t xml:space="preserve">VPD is the vapor pressure deficit and </w:t>
      </w:r>
      <m:oMath>
        <m:r>
          <w:rPr>
            <w:rFonts w:ascii="Cambria Math" w:hAnsi="Cambria Math"/>
          </w:rPr>
          <m:t>β</m:t>
        </m:r>
      </m:oMath>
      <w:r w:rsidR="00EA4C4E">
        <w:t xml:space="preserve"> is a free parameter, though in</w:t>
      </w:r>
      <w:r>
        <w:t xml:space="preserve"> MOD16 </w:t>
      </w:r>
      <w:r w:rsidR="00EA4C4E">
        <w:t xml:space="preserve">Collection 6.1 and earlier </w:t>
      </w:r>
      <w:r>
        <w:t xml:space="preserve">product </w:t>
      </w:r>
      <w:r w:rsidR="00EA4C4E">
        <w:t xml:space="preserve">versions its value was fixed at 250 (Pa). RH is calculated as in Equation </w:t>
      </w:r>
      <w:r w:rsidR="00626D33">
        <w:t>3.8</w:t>
      </w:r>
      <w:r w:rsidR="00EA4C4E">
        <w:t xml:space="preserve">. Because </w:t>
      </w:r>
      <w:r>
        <w:t xml:space="preserve">reliable </w:t>
      </w:r>
      <w:r w:rsidR="00EA4C4E">
        <w:t>good</w:t>
      </w:r>
      <w:r>
        <w:t xml:space="preserve"> quality</w:t>
      </w:r>
      <w:r w:rsidR="00EA4C4E">
        <w:t xml:space="preserve"> global soil moisture datasets were </w:t>
      </w:r>
      <w:r>
        <w:t>un</w:t>
      </w:r>
      <w:r w:rsidR="00EA4C4E">
        <w:t xml:space="preserve">available when MOD16 was first developed, this “soil moisture” constraint is </w:t>
      </w:r>
      <w:r w:rsidR="00E07E20">
        <w:t>based</w:t>
      </w:r>
      <w:r w:rsidR="00EA4C4E">
        <w:t xml:space="preserve"> on the relative humidity (RH</w:t>
      </w:r>
      <w:r w:rsidR="00E07E20">
        <w:t>, 0~100</w:t>
      </w:r>
      <w:r w:rsidR="00EA4C4E">
        <w:t>).</w:t>
      </w:r>
    </w:p>
    <w:p w14:paraId="5A8F432A" w14:textId="55E265A9" w:rsidR="00031310" w:rsidRDefault="00EA4C4E" w:rsidP="001160FE">
      <w:pPr>
        <w:pStyle w:val="BodyText"/>
        <w:spacing w:before="120" w:after="120"/>
        <w:ind w:firstLine="432"/>
        <w:jc w:val="both"/>
      </w:pPr>
      <w:r>
        <w:rPr>
          <w:b/>
        </w:rPr>
        <w:t>Finally, actual evaporation from bare soil surfaces is given as the sum of the</w:t>
      </w:r>
      <w:r w:rsidR="00EC39B6">
        <w:rPr>
          <w:b/>
        </w:rPr>
        <w:t xml:space="preserve"> </w:t>
      </w:r>
      <w:r>
        <w:rPr>
          <w:b/>
        </w:rPr>
        <w:t>evaporation from saturated and unsaturated fractions:</w:t>
      </w:r>
    </w:p>
    <w:p w14:paraId="451076A1" w14:textId="4C8D50E9" w:rsidR="00031310" w:rsidRDefault="00EA4C4E" w:rsidP="00AD0E5A">
      <w:pPr>
        <w:pStyle w:val="BodyText"/>
        <w:jc w:val="both"/>
      </w:pP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m:t>
            </m:r>
          </m:sub>
        </m:sSub>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soil,sat</m:t>
            </m:r>
          </m:sub>
        </m:sSub>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unsat</m:t>
            </m:r>
          </m:sub>
        </m:sSub>
      </m:oMath>
      <w:r w:rsidR="004A2262">
        <w:tab/>
      </w:r>
      <w:r w:rsidR="004A2262">
        <w:tab/>
      </w:r>
      <w:r w:rsidR="004A2262">
        <w:tab/>
      </w:r>
      <w:r w:rsidR="004A2262">
        <w:tab/>
      </w:r>
      <w:r w:rsidR="004A2262">
        <w:tab/>
      </w:r>
      <w:r w:rsidR="004A2262">
        <w:tab/>
      </w:r>
      <w:r w:rsidR="004A2262">
        <w:tab/>
        <w:t>(3.28)</w:t>
      </w:r>
    </w:p>
    <w:p w14:paraId="23A3C632" w14:textId="5F0AEEF6" w:rsidR="00031310" w:rsidRDefault="00EA4C4E" w:rsidP="00AD0E5A">
      <w:pPr>
        <w:pStyle w:val="Heading3"/>
        <w:jc w:val="both"/>
      </w:pPr>
      <w:bookmarkStart w:id="31" w:name="_Toc181041685"/>
      <w:r>
        <w:t xml:space="preserve">3.1.5 </w:t>
      </w:r>
      <w:bookmarkStart w:id="32" w:name="canopy-transpiration"/>
      <w:r>
        <w:t>Canopy Transpiration</w:t>
      </w:r>
      <w:bookmarkEnd w:id="31"/>
      <w:bookmarkEnd w:id="32"/>
    </w:p>
    <w:p w14:paraId="5CF73F7C" w14:textId="77777777" w:rsidR="00031310" w:rsidRDefault="00EA4C4E" w:rsidP="00AD0E5A">
      <w:pPr>
        <w:pStyle w:val="FirstParagraph"/>
        <w:spacing w:after="120"/>
        <w:jc w:val="both"/>
      </w:pPr>
      <w:r>
        <w:t xml:space="preserve">Transpiration from plants depends on a key parameter, the canopy conductance, which is derived from the mean stomatal and cuticular </w:t>
      </w:r>
      <w:proofErr w:type="spellStart"/>
      <w:r>
        <w:t>conductances</w:t>
      </w:r>
      <w:proofErr w:type="spellEnd"/>
      <w:r>
        <w:t xml:space="preserve"> of the various leaf elements that make up the canopy. Specifically, canopy conductance to transpired water vapor per unit LAI (</w:t>
      </w:r>
      <m:oMath>
        <m:sSub>
          <m:sSubPr>
            <m:ctrlPr>
              <w:rPr>
                <w:rFonts w:ascii="Cambria Math" w:hAnsi="Cambria Math"/>
              </w:rPr>
            </m:ctrlPr>
          </m:sSubPr>
          <m:e>
            <m:r>
              <w:rPr>
                <w:rFonts w:ascii="Cambria Math" w:hAnsi="Cambria Math"/>
              </w:rPr>
              <m:t>C</m:t>
            </m:r>
          </m:e>
          <m:sub>
            <m:r>
              <w:rPr>
                <w:rFonts w:ascii="Cambria Math" w:hAnsi="Cambria Math"/>
              </w:rPr>
              <m:t>C</m:t>
            </m:r>
          </m:sub>
        </m:sSub>
      </m:oMath>
      <w:r>
        <w:t>), is derived from the parallel conductance of cuticular (</w:t>
      </w:r>
      <m:oMath>
        <m:sSub>
          <m:sSubPr>
            <m:ctrlPr>
              <w:rPr>
                <w:rFonts w:ascii="Cambria Math" w:hAnsi="Cambria Math"/>
              </w:rPr>
            </m:ctrlPr>
          </m:sSubPr>
          <m:e>
            <m:r>
              <w:rPr>
                <w:rFonts w:ascii="Cambria Math" w:hAnsi="Cambria Math"/>
              </w:rPr>
              <m:t>g</m:t>
            </m:r>
          </m:e>
          <m:sub>
            <m:r>
              <w:rPr>
                <w:rFonts w:ascii="Cambria Math" w:hAnsi="Cambria Math"/>
              </w:rPr>
              <m:t>C</m:t>
            </m:r>
          </m:sub>
        </m:sSub>
      </m:oMath>
      <w:r>
        <w:t>) and stomatal (or surface) conductance, in series with the leaf boundary layer conductance (</w:t>
      </w:r>
      <m:oMath>
        <m:sSub>
          <m:sSubPr>
            <m:ctrlPr>
              <w:rPr>
                <w:rFonts w:ascii="Cambria Math" w:hAnsi="Cambria Math"/>
              </w:rPr>
            </m:ctrlPr>
          </m:sSubPr>
          <m:e>
            <m:r>
              <w:rPr>
                <w:rFonts w:ascii="Cambria Math" w:hAnsi="Cambria Math"/>
              </w:rPr>
              <m:t>g</m:t>
            </m:r>
          </m:e>
          <m:sub>
            <m:r>
              <m:rPr>
                <m:lit/>
                <m:nor/>
              </m:rPr>
              <w:rPr>
                <w:rFonts w:ascii="Cambria Math" w:hAnsi="Cambria Math"/>
              </w:rPr>
              <m:t>BL</m:t>
            </m:r>
          </m:sub>
        </m:sSub>
      </m:oMath>
      <w:r>
        <w:t>):</w:t>
      </w:r>
    </w:p>
    <w:p w14:paraId="144B514A" w14:textId="30C06EA6" w:rsidR="00031310" w:rsidRDefault="00000000" w:rsidP="00AD0E5A">
      <w:pPr>
        <w:pStyle w:val="BodyText"/>
        <w:jc w:val="both"/>
      </w:pPr>
      <m:oMath>
        <m:sSub>
          <m:sSubPr>
            <m:ctrlPr>
              <w:rPr>
                <w:rFonts w:ascii="Cambria Math" w:hAnsi="Cambria Math"/>
              </w:rPr>
            </m:ctrlPr>
          </m:sSubPr>
          <m:e>
            <m:r>
              <w:rPr>
                <w:rFonts w:ascii="Cambria Math" w:hAnsi="Cambria Math"/>
              </w:rPr>
              <m:t>C</m:t>
            </m:r>
          </m:e>
          <m:sub>
            <m:r>
              <w:rPr>
                <w:rFonts w:ascii="Cambria Math" w:hAnsi="Cambria Math"/>
              </w:rPr>
              <m:t>C</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lit/>
                    <m:nor/>
                  </m:rPr>
                  <w:rPr>
                    <w:rFonts w:ascii="Cambria Math" w:hAnsi="Cambria Math"/>
                  </w:rPr>
                  <m:t>BL</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e>
            </m:d>
          </m:num>
          <m:den>
            <m:sSub>
              <m:sSubPr>
                <m:ctrlPr>
                  <w:rPr>
                    <w:rFonts w:ascii="Cambria Math" w:hAnsi="Cambria Math"/>
                  </w:rPr>
                </m:ctrlPr>
              </m:sSubPr>
              <m:e>
                <m:r>
                  <w:rPr>
                    <w:rFonts w:ascii="Cambria Math" w:hAnsi="Cambria Math"/>
                  </w:rPr>
                  <m:t>g</m:t>
                </m:r>
              </m:e>
              <m:sub>
                <m:r>
                  <m:rPr>
                    <m:lit/>
                    <m:nor/>
                  </m:rPr>
                  <w:rPr>
                    <w:rFonts w:ascii="Cambria Math" w:hAnsi="Cambria Math"/>
                  </w:rPr>
                  <m:t>BL</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den>
        </m:f>
        <m:r>
          <m:rPr>
            <m:nor/>
          </m:rPr>
          <w:rPr>
            <w:rFonts w:ascii="Cambria Math" w:hAnsi="Cambria Math"/>
          </w:rPr>
          <m:t xml:space="preserve">  </m:t>
        </m:r>
        <w:proofErr w:type="spellStart"/>
        <m:r>
          <m:rPr>
            <m:lit/>
            <m:nor/>
          </m:rPr>
          <w:rPr>
            <w:rFonts w:ascii="Cambria Math" w:hAnsi="Cambria Math"/>
          </w:rPr>
          <m:t>iff</m:t>
        </m:r>
        <w:proofErr w:type="spellEnd"/>
        <m:r>
          <m:rPr>
            <m:nor/>
          </m:rPr>
          <w:rPr>
            <w:rFonts w:ascii="Cambria Math" w:hAnsi="Cambria Math"/>
          </w:rPr>
          <m:t xml:space="preserve">  </m:t>
        </m:r>
        <m:r>
          <m:rPr>
            <m:lit/>
            <m:nor/>
          </m:rPr>
          <w:rPr>
            <w:rFonts w:ascii="Cambria Math" w:hAnsi="Cambria Math"/>
          </w:rPr>
          <m:t>LAI</m:t>
        </m:r>
        <m:r>
          <w:rPr>
            <w:rFonts w:ascii="Cambria Math" w:hAnsi="Cambria Math"/>
          </w:rPr>
          <m:t>&gt;0,</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r>
          <w:rPr>
            <w:rFonts w:ascii="Cambria Math" w:hAnsi="Cambria Math"/>
          </w:rPr>
          <m:t>&gt;0</m:t>
        </m:r>
      </m:oMath>
      <w:r w:rsidR="004A2262">
        <w:tab/>
      </w:r>
      <w:r w:rsidR="004A2262">
        <w:tab/>
      </w:r>
      <w:r w:rsidR="004A2262">
        <w:tab/>
      </w:r>
      <w:r w:rsidR="004A2262">
        <w:tab/>
      </w:r>
      <w:r w:rsidR="004A2262">
        <w:tab/>
        <w:t>(3.29)</w:t>
      </w:r>
    </w:p>
    <w:p w14:paraId="287A442C" w14:textId="00C1B4C4" w:rsidR="00031310" w:rsidRDefault="00284EAA" w:rsidP="00AD0E5A">
      <w:pPr>
        <w:pStyle w:val="FirstParagraph"/>
        <w:spacing w:before="120"/>
        <w:jc w:val="both"/>
      </w:pPr>
      <w:r>
        <w:t xml:space="preserve">where </w:t>
      </w:r>
      <m:oMath>
        <m:sSub>
          <m:sSubPr>
            <m:ctrlPr>
              <w:rPr>
                <w:rFonts w:ascii="Cambria Math" w:hAnsi="Cambria Math"/>
              </w:rPr>
            </m:ctrlPr>
          </m:sSubPr>
          <m:e>
            <m:r>
              <w:rPr>
                <w:rFonts w:ascii="Cambria Math" w:hAnsi="Cambria Math"/>
              </w:rPr>
              <m:t>g</m:t>
            </m:r>
          </m:e>
          <m:sub>
            <m:r>
              <w:rPr>
                <w:rFonts w:ascii="Cambria Math" w:hAnsi="Cambria Math"/>
              </w:rPr>
              <m:t>S</m:t>
            </m:r>
          </m:sub>
        </m:sSub>
      </m:oMath>
      <w:r w:rsidR="00EA4C4E">
        <w:t xml:space="preserve"> is the surface conductance, described below. If LAI 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oMath>
      <w:r w:rsidR="00EA4C4E">
        <w:t xml:space="preserve"> are equal to zero, then canopy conductance is also zero.</w:t>
      </w:r>
    </w:p>
    <w:p w14:paraId="75961FFA" w14:textId="77777777" w:rsidR="00031310" w:rsidRDefault="00EA4C4E" w:rsidP="00AD0E5A">
      <w:pPr>
        <w:pStyle w:val="BodyText"/>
        <w:spacing w:before="120" w:after="120"/>
        <w:ind w:firstLine="432"/>
        <w:jc w:val="both"/>
      </w:pPr>
      <w:r>
        <w:rPr>
          <w:b/>
        </w:rPr>
        <w:t>The surface conductance</w:t>
      </w:r>
      <w:r>
        <w:t xml:space="preserve"> is a proxy for the bulk conductance of water vapor from plant stomata, throughout the canopy. It is approximated using linear functions of VPD and daily minimum temperature (</w:t>
      </w:r>
      <m:oMath>
        <m:sSub>
          <m:sSubPr>
            <m:ctrlPr>
              <w:rPr>
                <w:rFonts w:ascii="Cambria Math" w:hAnsi="Cambria Math"/>
              </w:rPr>
            </m:ctrlPr>
          </m:sSubPr>
          <m:e>
            <m:r>
              <w:rPr>
                <w:rFonts w:ascii="Cambria Math" w:hAnsi="Cambria Math"/>
              </w:rPr>
              <m:t>T</m:t>
            </m:r>
          </m:e>
          <m:sub>
            <m:r>
              <m:rPr>
                <m:lit/>
                <m:nor/>
              </m:rPr>
              <w:rPr>
                <w:rFonts w:ascii="Cambria Math" w:hAnsi="Cambria Math"/>
              </w:rPr>
              <m:t>min</m:t>
            </m:r>
          </m:sub>
        </m:sSub>
      </m:oMath>
      <w:r>
        <w:t>):</w:t>
      </w:r>
    </w:p>
    <w:p w14:paraId="1B55AB6A" w14:textId="4E267F0B" w:rsidR="00031310" w:rsidRDefault="00000000" w:rsidP="00AD0E5A">
      <w:pPr>
        <w:pStyle w:val="BodyText"/>
        <w:jc w:val="both"/>
      </w:pPr>
      <m:oMath>
        <m:sSub>
          <m:sSubPr>
            <m:ctrlPr>
              <w:rPr>
                <w:rFonts w:ascii="Cambria Math" w:hAnsi="Cambria Math"/>
              </w:rPr>
            </m:ctrlPr>
          </m:sSubPr>
          <m:e>
            <m:r>
              <w:rPr>
                <w:rFonts w:ascii="Cambria Math" w:hAnsi="Cambria Math"/>
              </w:rPr>
              <m:t>g</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T</m:t>
                </m:r>
              </m:e>
              <m:sub>
                <m:r>
                  <m:rPr>
                    <m:lit/>
                    <m:nor/>
                  </m:rPr>
                  <w:rPr>
                    <w:rFonts w:ascii="Cambria Math" w:hAnsi="Cambria Math"/>
                  </w:rPr>
                  <m:t>min</m:t>
                </m:r>
              </m:sub>
            </m:sSub>
          </m:e>
        </m:d>
        <m:r>
          <w:rPr>
            <w:rFonts w:ascii="Cambria Math" w:hAnsi="Cambria Math"/>
          </w:rPr>
          <m:t>×f</m:t>
        </m:r>
        <m:d>
          <m:dPr>
            <m:ctrlPr>
              <w:rPr>
                <w:rFonts w:ascii="Cambria Math" w:hAnsi="Cambria Math"/>
              </w:rPr>
            </m:ctrlPr>
          </m:dPr>
          <m:e>
            <m:r>
              <m:rPr>
                <m:lit/>
                <m:nor/>
              </m:rPr>
              <w:rPr>
                <w:rFonts w:ascii="Cambria Math" w:hAnsi="Cambria Math"/>
              </w:rPr>
              <m:t>VPD</m:t>
            </m:r>
          </m:e>
        </m:d>
        <m:r>
          <w:rPr>
            <w:rFonts w:ascii="Cambria Math" w:hAnsi="Cambria Math"/>
          </w:rPr>
          <m:t>×</m:t>
        </m:r>
        <m:sSub>
          <m:sSubPr>
            <m:ctrlPr>
              <w:rPr>
                <w:rFonts w:ascii="Cambria Math" w:hAnsi="Cambria Math"/>
              </w:rPr>
            </m:ctrlPr>
          </m:sSubPr>
          <m:e>
            <m:r>
              <w:rPr>
                <w:rFonts w:ascii="Cambria Math" w:hAnsi="Cambria Math"/>
              </w:rPr>
              <m:t>r</m:t>
            </m:r>
          </m:e>
          <m:sub>
            <m:r>
              <m:rPr>
                <m:lit/>
                <m:nor/>
              </m:rPr>
              <w:rPr>
                <w:rFonts w:ascii="Cambria Math" w:hAnsi="Cambria Math"/>
              </w:rPr>
              <m:t>corr</m:t>
            </m:r>
          </m:sub>
        </m:sSub>
      </m:oMath>
      <w:r w:rsidR="004A2262">
        <w:tab/>
      </w:r>
      <w:r w:rsidR="004A2262">
        <w:tab/>
      </w:r>
      <w:r w:rsidR="004A2262">
        <w:tab/>
      </w:r>
      <w:r w:rsidR="004A2262">
        <w:tab/>
      </w:r>
      <w:r w:rsidR="004A2262">
        <w:tab/>
      </w:r>
      <w:r w:rsidR="004A2262">
        <w:tab/>
        <w:t>(3.30)</w:t>
      </w:r>
    </w:p>
    <w:p w14:paraId="7D331BA7" w14:textId="7ED1057A" w:rsidR="004A2262" w:rsidRDefault="00284EAA" w:rsidP="00AD0E5A">
      <w:pPr>
        <w:pStyle w:val="FirstParagraph"/>
        <w:spacing w:before="120" w:after="120"/>
        <w:jc w:val="both"/>
      </w:pPr>
      <w:r>
        <w:t xml:space="preserve">where </w:t>
      </w:r>
      <m:oMath>
        <m:sSub>
          <m:sSubPr>
            <m:ctrlPr>
              <w:rPr>
                <w:rFonts w:ascii="Cambria Math" w:hAnsi="Cambria Math"/>
              </w:rPr>
            </m:ctrlPr>
          </m:sSubPr>
          <m:e>
            <m:r>
              <w:rPr>
                <w:rFonts w:ascii="Cambria Math" w:hAnsi="Cambria Math"/>
              </w:rPr>
              <m:t>r</m:t>
            </m:r>
          </m:e>
          <m:sub>
            <m:r>
              <m:rPr>
                <m:lit/>
                <m:nor/>
              </m:rPr>
              <w:rPr>
                <w:rFonts w:ascii="Cambria Math" w:hAnsi="Cambria Math"/>
              </w:rPr>
              <m:t>corr</m:t>
            </m:r>
          </m:sub>
        </m:sSub>
      </m:oMath>
      <w:r w:rsidR="00EA4C4E">
        <w:t xml:space="preserve"> is calculated as in Equation </w:t>
      </w:r>
      <w:r w:rsidR="00626D33">
        <w:t>3.23</w:t>
      </w:r>
      <w:r w:rsidR="00EA4C4E">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sub>
        </m:sSub>
      </m:oMath>
      <w:r w:rsidR="00EA4C4E">
        <w:t xml:space="preserve"> is the mean potential stomatal conductance per unit LAI (a free parameter) and </w:t>
      </w:r>
      <m:oMath>
        <m:r>
          <w:rPr>
            <w:rFonts w:ascii="Cambria Math" w:hAnsi="Cambria Math"/>
          </w:rPr>
          <m:t>f()</m:t>
        </m:r>
      </m:oMath>
      <w:r w:rsidR="00EA4C4E">
        <w:t xml:space="preserve"> represents linear functions that transform VPD or </w:t>
      </w:r>
      <m:oMath>
        <m:sSub>
          <m:sSubPr>
            <m:ctrlPr>
              <w:rPr>
                <w:rFonts w:ascii="Cambria Math" w:hAnsi="Cambria Math"/>
              </w:rPr>
            </m:ctrlPr>
          </m:sSubPr>
          <m:e>
            <m:r>
              <w:rPr>
                <w:rFonts w:ascii="Cambria Math" w:hAnsi="Cambria Math"/>
              </w:rPr>
              <m:t>T</m:t>
            </m:r>
          </m:e>
          <m:sub>
            <m:r>
              <m:rPr>
                <m:lit/>
                <m:nor/>
              </m:rPr>
              <w:rPr>
                <w:rFonts w:ascii="Cambria Math" w:hAnsi="Cambria Math"/>
              </w:rPr>
              <m:t>min</m:t>
            </m:r>
          </m:sub>
        </m:sSub>
      </m:oMath>
      <w:r w:rsidR="00EA4C4E">
        <w:t xml:space="preserve"> into dimensionless scalars </w:t>
      </w:r>
      <w:r>
        <w:t xml:space="preserve">ranging between </w:t>
      </w:r>
      <m:oMath>
        <m:d>
          <m:dPr>
            <m:begChr m:val="["/>
            <m:endChr m:val="]"/>
            <m:ctrlPr>
              <w:rPr>
                <w:rFonts w:ascii="Cambria Math" w:hAnsi="Cambria Math"/>
              </w:rPr>
            </m:ctrlPr>
          </m:dPr>
          <m:e>
            <m:r>
              <w:rPr>
                <w:rFonts w:ascii="Cambria Math" w:hAnsi="Cambria Math"/>
              </w:rPr>
              <m:t>0,1</m:t>
            </m:r>
          </m:e>
        </m:d>
      </m:oMath>
      <w:r w:rsidR="00EA4C4E">
        <w:t>:</w:t>
      </w:r>
    </w:p>
    <w:p w14:paraId="120CA27B" w14:textId="6062DC14" w:rsidR="004A2262" w:rsidRDefault="00EA4C4E" w:rsidP="00F00784">
      <w:pPr>
        <w:pStyle w:val="BodyText"/>
        <w:ind w:firstLine="0"/>
        <w:jc w:val="center"/>
      </w:pPr>
      <m:oMath>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T</m:t>
                </m:r>
              </m:e>
              <m:sub>
                <m:r>
                  <m:rPr>
                    <m:lit/>
                    <m:nor/>
                  </m:rPr>
                  <w:rPr>
                    <w:rFonts w:ascii="Cambria Math" w:hAnsi="Cambria Math"/>
                  </w:rPr>
                  <m:t>min</m:t>
                </m:r>
              </m:sub>
            </m:sSub>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sSub>
                    <m:sSubPr>
                      <m:ctrlPr>
                        <w:rPr>
                          <w:rFonts w:ascii="Cambria Math" w:hAnsi="Cambria Math"/>
                        </w:rPr>
                      </m:ctrlPr>
                    </m:sSubPr>
                    <m:e>
                      <m:r>
                        <w:rPr>
                          <w:rFonts w:ascii="Cambria Math" w:hAnsi="Cambria Math"/>
                        </w:rPr>
                        <m:t>T</m:t>
                      </m:r>
                    </m:e>
                    <m:sub>
                      <m:r>
                        <m:rPr>
                          <m:lit/>
                          <m:nor/>
                        </m:rP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T</m:t>
                      </m:r>
                    </m:e>
                    <m:sub>
                      <m:r>
                        <m:rPr>
                          <m:lit/>
                          <m:nor/>
                        </m:rPr>
                        <w:rPr>
                          <w:rFonts w:ascii="Cambria Math" w:hAnsi="Cambria Math"/>
                        </w:rPr>
                        <m:t>min,open</m:t>
                      </m:r>
                    </m:sub>
                  </m:sSub>
                </m:e>
              </m:mr>
              <m:mr>
                <m:e>
                  <m:f>
                    <m:fPr>
                      <m:ctrlPr>
                        <w:rPr>
                          <w:rFonts w:ascii="Cambria Math" w:hAnsi="Cambria Math"/>
                        </w:rPr>
                      </m:ctrlPr>
                    </m:fPr>
                    <m:num>
                      <m:sSub>
                        <m:sSubPr>
                          <m:ctrlPr>
                            <w:rPr>
                              <w:rFonts w:ascii="Cambria Math" w:hAnsi="Cambria Math"/>
                            </w:rPr>
                          </m:ctrlPr>
                        </m:sSubPr>
                        <m:e>
                          <m:r>
                            <w:rPr>
                              <w:rFonts w:ascii="Cambria Math" w:hAnsi="Cambria Math"/>
                            </w:rPr>
                            <m:t>T</m:t>
                          </m:r>
                        </m:e>
                        <m:sub>
                          <m:r>
                            <m:rPr>
                              <m:lit/>
                              <m:nor/>
                            </m:rP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T</m:t>
                          </m:r>
                        </m:e>
                        <m:sub>
                          <m:r>
                            <m:rPr>
                              <m:lit/>
                              <m:nor/>
                            </m:rPr>
                            <w:rPr>
                              <w:rFonts w:ascii="Cambria Math" w:hAnsi="Cambria Math"/>
                            </w:rPr>
                            <m:t>min,close</m:t>
                          </m:r>
                        </m:sub>
                      </m:sSub>
                    </m:num>
                    <m:den>
                      <m:sSub>
                        <m:sSubPr>
                          <m:ctrlPr>
                            <w:rPr>
                              <w:rFonts w:ascii="Cambria Math" w:hAnsi="Cambria Math"/>
                            </w:rPr>
                          </m:ctrlPr>
                        </m:sSubPr>
                        <m:e>
                          <m:r>
                            <w:rPr>
                              <w:rFonts w:ascii="Cambria Math" w:hAnsi="Cambria Math"/>
                            </w:rPr>
                            <m:t>T</m:t>
                          </m:r>
                        </m:e>
                        <m:sub>
                          <m:r>
                            <m:rPr>
                              <m:lit/>
                              <m:nor/>
                            </m:rPr>
                            <w:rPr>
                              <w:rFonts w:ascii="Cambria Math" w:hAnsi="Cambria Math"/>
                            </w:rPr>
                            <m:t>min,open</m:t>
                          </m:r>
                        </m:sub>
                      </m:sSub>
                      <m:r>
                        <w:rPr>
                          <w:rFonts w:ascii="Cambria Math" w:hAnsi="Cambria Math"/>
                        </w:rPr>
                        <m:t>-</m:t>
                      </m:r>
                      <m:sSub>
                        <m:sSubPr>
                          <m:ctrlPr>
                            <w:rPr>
                              <w:rFonts w:ascii="Cambria Math" w:hAnsi="Cambria Math"/>
                            </w:rPr>
                          </m:ctrlPr>
                        </m:sSubPr>
                        <m:e>
                          <m:r>
                            <w:rPr>
                              <w:rFonts w:ascii="Cambria Math" w:hAnsi="Cambria Math"/>
                            </w:rPr>
                            <m:t>T</m:t>
                          </m:r>
                        </m:e>
                        <m:sub>
                          <m:r>
                            <m:rPr>
                              <m:lit/>
                              <m:nor/>
                            </m:rPr>
                            <w:rPr>
                              <w:rFonts w:ascii="Cambria Math" w:hAnsi="Cambria Math"/>
                            </w:rPr>
                            <m:t>min,close</m:t>
                          </m:r>
                        </m:sub>
                      </m:sSub>
                    </m:den>
                  </m:f>
                </m:e>
                <m:e>
                  <m:sSub>
                    <m:sSubPr>
                      <m:ctrlPr>
                        <w:rPr>
                          <w:rFonts w:ascii="Cambria Math" w:hAnsi="Cambria Math"/>
                        </w:rPr>
                      </m:ctrlPr>
                    </m:sSubPr>
                    <m:e>
                      <m:r>
                        <w:rPr>
                          <w:rFonts w:ascii="Cambria Math" w:hAnsi="Cambria Math"/>
                        </w:rPr>
                        <m:t>T</m:t>
                      </m:r>
                    </m:e>
                    <m:sub>
                      <m:r>
                        <m:rPr>
                          <m:lit/>
                          <m:nor/>
                        </m:rPr>
                        <w:rPr>
                          <w:rFonts w:ascii="Cambria Math" w:hAnsi="Cambria Math"/>
                        </w:rPr>
                        <m:t>min</m:t>
                      </m:r>
                    </m:sub>
                  </m:sSub>
                  <m:r>
                    <m:rPr>
                      <m:lit/>
                      <m:nor/>
                    </m:rPr>
                    <w:rPr>
                      <w:rFonts w:ascii="Cambria Math" w:hAnsi="Cambria Math"/>
                    </w:rPr>
                    <m:t>in between</m:t>
                  </m:r>
                </m:e>
              </m:mr>
              <m:mr>
                <m:e>
                  <m:r>
                    <w:rPr>
                      <w:rFonts w:ascii="Cambria Math" w:hAnsi="Cambria Math"/>
                    </w:rPr>
                    <m:t>0</m:t>
                  </m:r>
                </m:e>
                <m:e>
                  <m:sSub>
                    <m:sSubPr>
                      <m:ctrlPr>
                        <w:rPr>
                          <w:rFonts w:ascii="Cambria Math" w:hAnsi="Cambria Math"/>
                        </w:rPr>
                      </m:ctrlPr>
                    </m:sSubPr>
                    <m:e>
                      <m:r>
                        <w:rPr>
                          <w:rFonts w:ascii="Cambria Math" w:hAnsi="Cambria Math"/>
                        </w:rPr>
                        <m:t>T</m:t>
                      </m:r>
                    </m:e>
                    <m:sub>
                      <m:r>
                        <m:rPr>
                          <m:lit/>
                          <m:nor/>
                        </m:rP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T</m:t>
                      </m:r>
                    </m:e>
                    <m:sub>
                      <m:r>
                        <m:rPr>
                          <m:lit/>
                          <m:nor/>
                        </m:rPr>
                        <w:rPr>
                          <w:rFonts w:ascii="Cambria Math" w:hAnsi="Cambria Math"/>
                        </w:rPr>
                        <m:t>min,close</m:t>
                      </m:r>
                    </m:sub>
                  </m:sSub>
                </m:e>
              </m:mr>
            </m:m>
          </m:e>
        </m:d>
      </m:oMath>
      <w:r w:rsidR="004A2262">
        <w:tab/>
      </w:r>
      <w:r w:rsidR="004A2262">
        <w:tab/>
      </w:r>
      <w:r w:rsidR="00F00784">
        <w:t xml:space="preserve">  </w:t>
      </w:r>
      <w:r w:rsidR="00F00784">
        <w:tab/>
      </w:r>
      <w:r w:rsidR="00F00784">
        <w:tab/>
      </w:r>
      <w:r w:rsidR="004A2262">
        <w:t>(3.31)</w:t>
      </w:r>
    </w:p>
    <w:p w14:paraId="3DF917A3" w14:textId="77777777" w:rsidR="004A2262" w:rsidRPr="00AD0E5A" w:rsidRDefault="004A2262" w:rsidP="002969DD">
      <w:pPr>
        <w:pStyle w:val="BodyText"/>
        <w:ind w:firstLine="0"/>
        <w:jc w:val="both"/>
      </w:pPr>
    </w:p>
    <w:p w14:paraId="7F5160E7" w14:textId="525F4B36" w:rsidR="00031310" w:rsidRPr="004A2262" w:rsidRDefault="00EA4C4E" w:rsidP="00AD0E5A">
      <w:pPr>
        <w:pStyle w:val="BodyText"/>
        <w:jc w:val="both"/>
      </w:pPr>
      <m:oMath>
        <m:r>
          <w:rPr>
            <w:rFonts w:ascii="Cambria Math" w:hAnsi="Cambria Math"/>
          </w:rPr>
          <m:t>f</m:t>
        </m:r>
        <m:d>
          <m:dPr>
            <m:ctrlPr>
              <w:rPr>
                <w:rFonts w:ascii="Cambria Math" w:hAnsi="Cambria Math"/>
              </w:rPr>
            </m:ctrlPr>
          </m:dPr>
          <m:e>
            <m:r>
              <m:rPr>
                <m:lit/>
                <m:nor/>
              </m:rPr>
              <w:rPr>
                <w:rFonts w:ascii="Cambria Math" w:hAnsi="Cambria Math"/>
              </w:rPr>
              <m:t>VPD</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m:rPr>
                      <m:lit/>
                      <m:nor/>
                    </m:rPr>
                    <w:rPr>
                      <w:rFonts w:ascii="Cambria Math" w:hAnsi="Cambria Math"/>
                    </w:rPr>
                    <m:t>VPD</m:t>
                  </m:r>
                  <m:r>
                    <w:rPr>
                      <w:rFonts w:ascii="Cambria Math" w:hAnsi="Cambria Math"/>
                    </w:rPr>
                    <m: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e>
              </m:mr>
              <m:mr>
                <m:e>
                  <m:f>
                    <m:fPr>
                      <m:ctrlPr>
                        <w:rPr>
                          <w:rFonts w:ascii="Cambria Math" w:hAnsi="Cambria Math"/>
                        </w:rPr>
                      </m:ctrlPr>
                    </m:fPr>
                    <m:num>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r>
                        <w:rPr>
                          <w:rFonts w:ascii="Cambria Math" w:hAnsi="Cambria Math"/>
                        </w:rPr>
                        <m:t>-</m:t>
                      </m:r>
                      <m:r>
                        <m:rPr>
                          <m:lit/>
                          <m:nor/>
                        </m:rPr>
                        <w:rPr>
                          <w:rFonts w:ascii="Cambria Math" w:hAnsi="Cambria Math"/>
                        </w:rPr>
                        <m:t>VPD</m:t>
                      </m:r>
                    </m:num>
                    <m:den>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r>
                        <w:rPr>
                          <w:rFonts w:ascii="Cambria Math" w:hAnsi="Cambria Math"/>
                        </w:rPr>
                        <m: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den>
                  </m:f>
                </m:e>
                <m:e>
                  <m:r>
                    <m:rPr>
                      <m:lit/>
                      <m:nor/>
                    </m:rPr>
                    <w:rPr>
                      <w:rFonts w:ascii="Cambria Math" w:hAnsi="Cambria Math"/>
                    </w:rPr>
                    <m:t>VPD in between</m:t>
                  </m:r>
                </m:e>
              </m:mr>
              <m:mr>
                <m:e>
                  <m:r>
                    <w:rPr>
                      <w:rFonts w:ascii="Cambria Math" w:hAnsi="Cambria Math"/>
                    </w:rPr>
                    <m:t>0</m:t>
                  </m:r>
                </m:e>
                <m:e>
                  <m:r>
                    <m:rPr>
                      <m:lit/>
                      <m:nor/>
                    </m:rPr>
                    <w:rPr>
                      <w:rFonts w:ascii="Cambria Math" w:hAnsi="Cambria Math"/>
                    </w:rPr>
                    <m:t>VPD</m:t>
                  </m:r>
                  <m:r>
                    <w:rPr>
                      <w:rFonts w:ascii="Cambria Math" w:hAnsi="Cambria Math"/>
                    </w:rPr>
                    <m:t>≥</m:t>
                  </m:r>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e>
              </m:mr>
            </m:m>
          </m:e>
        </m:d>
      </m:oMath>
      <w:r w:rsidR="004A2262">
        <w:tab/>
      </w:r>
      <w:r w:rsidR="004A2262">
        <w:tab/>
      </w:r>
      <w:r w:rsidR="004A2262">
        <w:tab/>
      </w:r>
      <w:r w:rsidR="004A2262">
        <w:tab/>
        <w:t>(3.32)</w:t>
      </w:r>
    </w:p>
    <w:p w14:paraId="6FFF762D" w14:textId="31D0581C" w:rsidR="00031310" w:rsidRDefault="00EA4C4E" w:rsidP="00AD0E5A">
      <w:pPr>
        <w:pStyle w:val="FirstParagraph"/>
        <w:spacing w:before="120"/>
        <w:jc w:val="both"/>
      </w:pPr>
      <w:r>
        <w:rPr>
          <w:b/>
        </w:rPr>
        <w:t xml:space="preserve">Although the stomata of many plant species do not entirely close at night, in VNP16, it is assumed that </w:t>
      </w:r>
      <m:oMath>
        <m:sSub>
          <m:sSubPr>
            <m:ctrlPr>
              <w:rPr>
                <w:rFonts w:ascii="Cambria Math" w:hAnsi="Cambria Math"/>
              </w:rPr>
            </m:ctrlPr>
          </m:sSubPr>
          <m:e>
            <m:r>
              <w:rPr>
                <w:rFonts w:ascii="Cambria Math" w:hAnsi="Cambria Math"/>
              </w:rPr>
              <m:t>g</m:t>
            </m:r>
          </m:e>
          <m:sub>
            <m:r>
              <w:rPr>
                <w:rFonts w:ascii="Cambria Math" w:hAnsi="Cambria Math"/>
              </w:rPr>
              <m:t>S</m:t>
            </m:r>
          </m:sub>
        </m:sSub>
        <m:r>
          <w:rPr>
            <w:rFonts w:ascii="Cambria Math" w:hAnsi="Cambria Math"/>
          </w:rPr>
          <m:t>=0</m:t>
        </m:r>
      </m:oMath>
      <w:r>
        <w:rPr>
          <w:b/>
        </w:rPr>
        <w:t xml:space="preserve"> </w:t>
      </w:r>
      <w:r w:rsidR="00284EAA">
        <w:rPr>
          <w:b/>
        </w:rPr>
        <w:t xml:space="preserve">during </w:t>
      </w:r>
      <w:r>
        <w:rPr>
          <w:b/>
        </w:rPr>
        <w:t>nighttime</w:t>
      </w:r>
      <w:r w:rsidRPr="00CB453C">
        <w:t>,</w:t>
      </w:r>
      <w:r>
        <w:t xml:space="preserve"> as this optimizes the intrinsic trade-off between water loss and carbon gain during a photoperiod (night) in which carbon gain typically isn’t possible due to the lack of photosynthetically active radiation.</w:t>
      </w:r>
    </w:p>
    <w:p w14:paraId="36658AB8" w14:textId="14CE7AE6" w:rsidR="00031310" w:rsidRDefault="00EA4C4E" w:rsidP="00AD0E5A">
      <w:pPr>
        <w:pStyle w:val="BodyText"/>
        <w:spacing w:before="120" w:after="120"/>
        <w:ind w:firstLine="432"/>
        <w:jc w:val="both"/>
      </w:pPr>
      <w:r>
        <w:lastRenderedPageBreak/>
        <w:t>Leaf boundary layer conductance (</w:t>
      </w:r>
      <m:oMath>
        <m:sSub>
          <m:sSubPr>
            <m:ctrlPr>
              <w:rPr>
                <w:rFonts w:ascii="Cambria Math" w:hAnsi="Cambria Math"/>
              </w:rPr>
            </m:ctrlPr>
          </m:sSubPr>
          <m:e>
            <m:r>
              <w:rPr>
                <w:rFonts w:ascii="Cambria Math" w:hAnsi="Cambria Math"/>
              </w:rPr>
              <m:t>g</m:t>
            </m:r>
          </m:e>
          <m:sub>
            <m:r>
              <m:rPr>
                <m:lit/>
                <m:nor/>
              </m:rPr>
              <w:rPr>
                <w:rFonts w:ascii="Cambria Math" w:hAnsi="Cambria Math"/>
              </w:rPr>
              <m:t>BL</m:t>
            </m:r>
          </m:sub>
        </m:sSub>
      </m:oMath>
      <w:r>
        <w:t>) is calculated</w:t>
      </w:r>
      <w:r w:rsidR="00360A33">
        <w:t xml:space="preserve"> as</w:t>
      </w:r>
      <w:r>
        <w:t>:</w:t>
      </w:r>
    </w:p>
    <w:p w14:paraId="70877DBF" w14:textId="7F0091F5" w:rsidR="00031310" w:rsidRDefault="00000000" w:rsidP="00AD0E5A">
      <w:pPr>
        <w:pStyle w:val="BodyText"/>
        <w:jc w:val="both"/>
      </w:pPr>
      <m:oMath>
        <m:sSub>
          <m:sSubPr>
            <m:ctrlPr>
              <w:rPr>
                <w:rFonts w:ascii="Cambria Math" w:hAnsi="Cambria Math"/>
              </w:rPr>
            </m:ctrlPr>
          </m:sSubPr>
          <m:e>
            <m:r>
              <w:rPr>
                <w:rFonts w:ascii="Cambria Math" w:hAnsi="Cambria Math"/>
              </w:rPr>
              <m:t>g</m:t>
            </m:r>
          </m:e>
          <m:sub>
            <m:r>
              <m:rPr>
                <m:lit/>
                <m:nor/>
              </m:rPr>
              <w:rPr>
                <w:rFonts w:ascii="Cambria Math" w:hAnsi="Cambria Math"/>
              </w:rPr>
              <m:t>BL</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SH</m:t>
            </m:r>
          </m:sub>
        </m:sSub>
        <m:r>
          <w:rPr>
            <w:rFonts w:ascii="Cambria Math" w:hAnsi="Cambria Math"/>
          </w:rPr>
          <m:t>×</m:t>
        </m:r>
        <m:r>
          <m:rPr>
            <m:lit/>
            <m:nor/>
          </m:rPr>
          <w:rPr>
            <w:rFonts w:ascii="Cambria Math" w:hAnsi="Cambria Math"/>
          </w:rPr>
          <m:t>LAI</m:t>
        </m:r>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oMath>
      <w:r w:rsidR="004A2262">
        <w:tab/>
      </w:r>
      <w:r w:rsidR="004A2262">
        <w:tab/>
      </w:r>
      <w:r w:rsidR="004A2262">
        <w:tab/>
      </w:r>
      <w:r w:rsidR="004A2262">
        <w:tab/>
      </w:r>
      <w:r w:rsidR="004A2262">
        <w:tab/>
      </w:r>
      <w:r w:rsidR="004A2262">
        <w:tab/>
      </w:r>
      <w:r w:rsidR="004A2262">
        <w:tab/>
        <w:t>(3.33)</w:t>
      </w:r>
    </w:p>
    <w:p w14:paraId="18EFFE7A" w14:textId="20D0F434" w:rsidR="00031310" w:rsidRDefault="00360A33" w:rsidP="00AD0E5A">
      <w:pPr>
        <w:pStyle w:val="FirstParagraph"/>
        <w:spacing w:before="120"/>
        <w:jc w:val="both"/>
      </w:pPr>
      <w:r>
        <w:t xml:space="preserve">where </w:t>
      </w:r>
      <m:oMath>
        <m:sSub>
          <m:sSubPr>
            <m:ctrlPr>
              <w:rPr>
                <w:rFonts w:ascii="Cambria Math" w:hAnsi="Cambria Math"/>
              </w:rPr>
            </m:ctrlPr>
          </m:sSubPr>
          <m:e>
            <m:r>
              <w:rPr>
                <w:rFonts w:ascii="Cambria Math" w:hAnsi="Cambria Math"/>
              </w:rPr>
              <m:t>g</m:t>
            </m:r>
          </m:e>
          <m:sub>
            <m:r>
              <w:rPr>
                <w:rFonts w:ascii="Cambria Math" w:hAnsi="Cambria Math"/>
              </w:rPr>
              <m:t>SH</m:t>
            </m:r>
          </m:sub>
        </m:sSub>
      </m:oMath>
      <w:r w:rsidR="00EA4C4E">
        <w:t xml:space="preserve"> is the leaf conductance to sensible heat per unit LAI, a free parameter.</w:t>
      </w:r>
    </w:p>
    <w:p w14:paraId="4A024BFC" w14:textId="77777777" w:rsidR="00031310" w:rsidRDefault="00EA4C4E" w:rsidP="00AD0E5A">
      <w:pPr>
        <w:pStyle w:val="BodyText"/>
        <w:spacing w:before="120" w:after="120"/>
        <w:ind w:firstLine="432"/>
        <w:jc w:val="both"/>
      </w:pPr>
      <w:r>
        <w:t xml:space="preserve">Cuticular conductance is calculated based on the free parameter </w:t>
      </w:r>
      <m:oMath>
        <m:sSub>
          <m:sSubPr>
            <m:ctrlPr>
              <w:rPr>
                <w:rFonts w:ascii="Cambria Math" w:hAnsi="Cambria Math"/>
              </w:rPr>
            </m:ctrlPr>
          </m:sSubPr>
          <m:e>
            <m:r>
              <w:rPr>
                <w:rFonts w:ascii="Cambria Math" w:hAnsi="Cambria Math"/>
              </w:rPr>
              <m:t>g</m:t>
            </m:r>
          </m:e>
          <m:sub>
            <m:r>
              <m:rPr>
                <m:lit/>
                <m:nor/>
              </m:rPr>
              <w:rPr>
                <w:rFonts w:ascii="Cambria Math" w:hAnsi="Cambria Math"/>
              </w:rPr>
              <m:t>cuticular</m:t>
            </m:r>
          </m:sub>
        </m:sSub>
      </m:oMath>
      <w:r>
        <w:t>, which is the expected average leaf cuticular conductance:</w:t>
      </w:r>
    </w:p>
    <w:p w14:paraId="5529EF31" w14:textId="765ADB1A" w:rsidR="00031310" w:rsidRDefault="00000000" w:rsidP="00AD0E5A">
      <w:pPr>
        <w:pStyle w:val="BodyText"/>
        <w:jc w:val="both"/>
      </w:pPr>
      <m:oMath>
        <m:sSub>
          <m:sSubPr>
            <m:ctrlPr>
              <w:rPr>
                <w:rFonts w:ascii="Cambria Math" w:hAnsi="Cambria Math"/>
              </w:rPr>
            </m:ctrlPr>
          </m:sSubPr>
          <m:e>
            <m:r>
              <w:rPr>
                <w:rFonts w:ascii="Cambria Math" w:hAnsi="Cambria Math"/>
              </w:rPr>
              <m:t>g</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g</m:t>
            </m:r>
          </m:e>
          <m:sub>
            <m:r>
              <m:rPr>
                <m:lit/>
                <m:nor/>
              </m:rPr>
              <w:rPr>
                <w:rFonts w:ascii="Cambria Math" w:hAnsi="Cambria Math"/>
              </w:rPr>
              <m:t>cuticular</m:t>
            </m:r>
          </m:sub>
        </m:sSub>
        <m:r>
          <w:rPr>
            <w:rFonts w:ascii="Cambria Math" w:hAnsi="Cambria Math"/>
          </w:rPr>
          <m:t>×</m:t>
        </m:r>
        <m:sSub>
          <m:sSubPr>
            <m:ctrlPr>
              <w:rPr>
                <w:rFonts w:ascii="Cambria Math" w:hAnsi="Cambria Math"/>
              </w:rPr>
            </m:ctrlPr>
          </m:sSubPr>
          <m:e>
            <m:r>
              <w:rPr>
                <w:rFonts w:ascii="Cambria Math" w:hAnsi="Cambria Math"/>
              </w:rPr>
              <m:t>r</m:t>
            </m:r>
          </m:e>
          <m:sub>
            <m:r>
              <m:rPr>
                <m:lit/>
                <m:nor/>
              </m:rPr>
              <w:rPr>
                <w:rFonts w:ascii="Cambria Math" w:hAnsi="Cambria Math"/>
              </w:rPr>
              <m:t>corr</m:t>
            </m:r>
          </m:sub>
        </m:sSub>
      </m:oMath>
      <w:r w:rsidR="004A2262">
        <w:tab/>
      </w:r>
      <w:r w:rsidR="004A2262">
        <w:tab/>
      </w:r>
      <w:r w:rsidR="004A2262">
        <w:tab/>
      </w:r>
      <w:r w:rsidR="004A2262">
        <w:tab/>
      </w:r>
      <w:r w:rsidR="004A2262">
        <w:tab/>
      </w:r>
      <w:r w:rsidR="004A2262">
        <w:tab/>
      </w:r>
      <w:r w:rsidR="004A2262">
        <w:tab/>
      </w:r>
      <w:r w:rsidR="004A2262">
        <w:tab/>
        <w:t>(3.34)</w:t>
      </w:r>
    </w:p>
    <w:p w14:paraId="44CA132D" w14:textId="26004275" w:rsidR="00031310" w:rsidRDefault="00EA4C4E" w:rsidP="00AD0E5A">
      <w:pPr>
        <w:pStyle w:val="FirstParagraph"/>
        <w:spacing w:before="120" w:after="120"/>
        <w:jc w:val="both"/>
      </w:pPr>
      <w:r>
        <w:t xml:space="preserve">The last term in our plant transpiration calculation is </w:t>
      </w:r>
      <w:r>
        <w:rPr>
          <w:b/>
        </w:rPr>
        <w:t>the aerodynamic resistance of the dry canopy</w:t>
      </w:r>
      <w:r w:rsidRPr="00CB453C">
        <w:t>,</w:t>
      </w:r>
      <w:r>
        <w:t xml:space="preserve"> </w:t>
      </w:r>
      <m:oMath>
        <m:sSub>
          <m:sSubPr>
            <m:ctrlPr>
              <w:rPr>
                <w:rFonts w:ascii="Cambria Math" w:hAnsi="Cambria Math"/>
              </w:rPr>
            </m:ctrlPr>
          </m:sSubPr>
          <m:e>
            <m:r>
              <w:rPr>
                <w:rFonts w:ascii="Cambria Math" w:hAnsi="Cambria Math"/>
              </w:rPr>
              <m:t>r</m:t>
            </m:r>
          </m:e>
          <m:sub>
            <m:r>
              <m:rPr>
                <m:lit/>
                <m:nor/>
              </m:rPr>
              <w:rPr>
                <w:rFonts w:ascii="Cambria Math" w:hAnsi="Cambria Math"/>
              </w:rPr>
              <m:t>dry</m:t>
            </m:r>
          </m:sub>
        </m:sSub>
      </m:oMath>
      <w:r>
        <w:t>, calculated as a parallel resistance to radiative (</w:t>
      </w:r>
      <m:oMath>
        <m:sSub>
          <m:sSubPr>
            <m:ctrlPr>
              <w:rPr>
                <w:rFonts w:ascii="Cambria Math" w:hAnsi="Cambria Math"/>
              </w:rPr>
            </m:ctrlPr>
          </m:sSubPr>
          <m:e>
            <m:r>
              <w:rPr>
                <w:rFonts w:ascii="Cambria Math" w:hAnsi="Cambria Math"/>
              </w:rPr>
              <m:t>r</m:t>
            </m:r>
          </m:e>
          <m:sub>
            <m:r>
              <w:rPr>
                <w:rFonts w:ascii="Cambria Math" w:hAnsi="Cambria Math"/>
              </w:rPr>
              <m:t>R</m:t>
            </m:r>
          </m:sub>
        </m:sSub>
      </m:oMath>
      <w:r>
        <w:t xml:space="preserve">, Equation </w:t>
      </w:r>
      <w:r w:rsidR="00626D33">
        <w:t>3.17</w:t>
      </w:r>
      <w:r>
        <w:t>) and convective heat transfer, where the latter is the inverse of leaf conductance to sensible heat (</w:t>
      </w:r>
      <m:oMath>
        <m:sSub>
          <m:sSubPr>
            <m:ctrlPr>
              <w:rPr>
                <w:rFonts w:ascii="Cambria Math" w:hAnsi="Cambria Math"/>
              </w:rPr>
            </m:ctrlPr>
          </m:sSubPr>
          <m:e>
            <m:r>
              <w:rPr>
                <w:rFonts w:ascii="Cambria Math" w:hAnsi="Cambria Math"/>
              </w:rPr>
              <m:t>g</m:t>
            </m:r>
          </m:e>
          <m:sub>
            <m:r>
              <m:rPr>
                <m:lit/>
                <m:nor/>
              </m:rPr>
              <w:rPr>
                <w:rFonts w:ascii="Cambria Math" w:hAnsi="Cambria Math"/>
              </w:rPr>
              <m:t>SH</m:t>
            </m:r>
          </m:sub>
        </m:sSub>
      </m:oMath>
      <w:r>
        <w:t>):</w:t>
      </w:r>
    </w:p>
    <w:p w14:paraId="174E802A" w14:textId="64EBBE91" w:rsidR="00031310" w:rsidRDefault="00000000" w:rsidP="00AD0E5A">
      <w:pPr>
        <w:pStyle w:val="BodyText"/>
        <w:jc w:val="both"/>
      </w:pPr>
      <m:oMath>
        <m:sSub>
          <m:sSubPr>
            <m:ctrlPr>
              <w:rPr>
                <w:rFonts w:ascii="Cambria Math" w:hAnsi="Cambria Math"/>
              </w:rPr>
            </m:ctrlPr>
          </m:sSubPr>
          <m:e>
            <m:r>
              <w:rPr>
                <w:rFonts w:ascii="Cambria Math" w:hAnsi="Cambria Math"/>
              </w:rPr>
              <m:t>r</m:t>
            </m:r>
          </m:e>
          <m:sub>
            <m:r>
              <m:rPr>
                <m:lit/>
                <m:nor/>
              </m:rPr>
              <w:rPr>
                <w:rFonts w:ascii="Cambria Math" w:hAnsi="Cambria Math"/>
              </w:rPr>
              <m:t>dry</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g</m:t>
                </m:r>
              </m:e>
              <m:sub>
                <m:r>
                  <m:rPr>
                    <m:lit/>
                    <m:nor/>
                  </m:rPr>
                  <w:rPr>
                    <w:rFonts w:ascii="Cambria Math" w:hAnsi="Cambria Math"/>
                  </w:rPr>
                  <m:t>SH</m:t>
                </m:r>
              </m:sub>
              <m:sup>
                <m:r>
                  <w:rPr>
                    <w:rFonts w:ascii="Cambria Math" w:hAnsi="Cambria Math"/>
                  </w:rPr>
                  <m:t>-1</m:t>
                </m:r>
              </m:sup>
            </m:sSubSup>
            <m:sSub>
              <m:sSubPr>
                <m:ctrlPr>
                  <w:rPr>
                    <w:rFonts w:ascii="Cambria Math" w:hAnsi="Cambria Math"/>
                  </w:rPr>
                </m:ctrlPr>
              </m:sSubPr>
              <m:e>
                <m:r>
                  <w:rPr>
                    <w:rFonts w:ascii="Cambria Math" w:hAnsi="Cambria Math"/>
                  </w:rPr>
                  <m:t>r</m:t>
                </m:r>
              </m:e>
              <m:sub>
                <m:r>
                  <w:rPr>
                    <w:rFonts w:ascii="Cambria Math" w:hAnsi="Cambria Math"/>
                  </w:rPr>
                  <m:t>R</m:t>
                </m:r>
              </m:sub>
            </m:sSub>
          </m:num>
          <m:den>
            <m:sSubSup>
              <m:sSubSupPr>
                <m:ctrlPr>
                  <w:rPr>
                    <w:rFonts w:ascii="Cambria Math" w:hAnsi="Cambria Math"/>
                  </w:rPr>
                </m:ctrlPr>
              </m:sSubSupPr>
              <m:e>
                <m:r>
                  <w:rPr>
                    <w:rFonts w:ascii="Cambria Math" w:hAnsi="Cambria Math"/>
                  </w:rPr>
                  <m:t>g</m:t>
                </m:r>
              </m:e>
              <m:sub>
                <m:r>
                  <m:rPr>
                    <m:lit/>
                    <m:nor/>
                  </m:rPr>
                  <w:rPr>
                    <w:rFonts w:ascii="Cambria Math" w:hAnsi="Cambria Math"/>
                  </w:rPr>
                  <m:t>SH</m:t>
                </m:r>
              </m:sub>
              <m:sup>
                <m:r>
                  <w:rPr>
                    <w:rFonts w:ascii="Cambria Math" w:hAnsi="Cambria Math"/>
                  </w:rPr>
                  <m:t>-1</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R</m:t>
                </m:r>
              </m:sub>
            </m:sSub>
          </m:den>
        </m:f>
      </m:oMath>
      <w:r w:rsidR="004A2262">
        <w:tab/>
      </w:r>
      <w:r w:rsidR="004A2262">
        <w:tab/>
      </w:r>
      <w:r w:rsidR="004A2262">
        <w:tab/>
      </w:r>
      <w:r w:rsidR="004A2262">
        <w:tab/>
      </w:r>
      <w:r w:rsidR="004A2262">
        <w:tab/>
      </w:r>
      <w:r w:rsidR="004A2262">
        <w:tab/>
      </w:r>
      <w:r w:rsidR="004A2262">
        <w:tab/>
      </w:r>
      <w:r w:rsidR="004A2262">
        <w:tab/>
      </w:r>
      <w:r w:rsidR="004A2262">
        <w:tab/>
        <w:t>(3.35)</w:t>
      </w:r>
    </w:p>
    <w:p w14:paraId="3997846E" w14:textId="77777777" w:rsidR="00031310" w:rsidRDefault="00EA4C4E" w:rsidP="00AD0E5A">
      <w:pPr>
        <w:pStyle w:val="FirstParagraph"/>
        <w:spacing w:before="120" w:after="120"/>
        <w:jc w:val="both"/>
      </w:pPr>
      <w:r>
        <w:rPr>
          <w:b/>
        </w:rPr>
        <w:t>Finally, we compute plant transpiration as:</w:t>
      </w:r>
    </w:p>
    <w:p w14:paraId="04C03A25" w14:textId="00478703" w:rsidR="00031310" w:rsidRDefault="00EA4C4E" w:rsidP="00AD0E5A">
      <w:pPr>
        <w:pStyle w:val="BodyText"/>
        <w:jc w:val="both"/>
      </w:pP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f>
          <m:fPr>
            <m:ctrlPr>
              <w:rPr>
                <w:rFonts w:ascii="Cambria Math" w:hAnsi="Cambria Math"/>
              </w:rPr>
            </m:ctrlPr>
          </m:fPr>
          <m:num>
            <m:r>
              <w:rPr>
                <w:rFonts w:ascii="Cambria Math" w:hAnsi="Cambria Math"/>
              </w:rPr>
              <m:t>s</m:t>
            </m:r>
            <m:sSub>
              <m:sSubPr>
                <m:ctrlPr>
                  <w:rPr>
                    <w:rFonts w:ascii="Cambria Math" w:hAnsi="Cambria Math"/>
                  </w:rPr>
                </m:ctrlPr>
              </m:sSubPr>
              <m:e>
                <m:r>
                  <w:rPr>
                    <w:rFonts w:ascii="Cambria Math" w:hAnsi="Cambria Math"/>
                  </w:rPr>
                  <m:t>A</m:t>
                </m:r>
              </m:e>
              <m:sub>
                <m:r>
                  <w:rPr>
                    <w:rFonts w:ascii="Cambria Math" w:hAnsi="Cambria Math"/>
                  </w:rPr>
                  <m:t>C</m:t>
                </m:r>
              </m:sub>
            </m:sSub>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p</m:t>
                </m:r>
              </m:sub>
            </m:sSub>
            <m:sSub>
              <m:sSubPr>
                <m:ctrlPr>
                  <w:rPr>
                    <w:rFonts w:ascii="Cambria Math" w:hAnsi="Cambria Math"/>
                  </w:rPr>
                </m:ctrlPr>
              </m:sSubPr>
              <m:e>
                <m:r>
                  <w:rPr>
                    <w:rFonts w:ascii="Cambria Math" w:hAnsi="Cambria Math"/>
                  </w:rPr>
                  <m:t>F</m:t>
                </m:r>
              </m:e>
              <m:sub>
                <m:r>
                  <w:rPr>
                    <w:rFonts w:ascii="Cambria Math" w:hAnsi="Cambria Math"/>
                  </w:rPr>
                  <m:t>C</m:t>
                </m:r>
              </m:sub>
            </m:sSub>
            <m:d>
              <m:dPr>
                <m:begChr m:val="["/>
                <m:endChr m:val="]"/>
                <m:ctrlPr>
                  <w:rPr>
                    <w:rFonts w:ascii="Cambria Math" w:hAnsi="Cambria Math"/>
                  </w:rPr>
                </m:ctrlPr>
              </m:dPr>
              <m:e>
                <m:r>
                  <m:rPr>
                    <m:lit/>
                    <m:nor/>
                  </m:rPr>
                  <w:rPr>
                    <w:rFonts w:ascii="Cambria Math" w:hAnsi="Cambria Math"/>
                  </w:rPr>
                  <m:t>VPD</m:t>
                </m:r>
              </m:e>
            </m:d>
            <m:sSubSup>
              <m:sSubSupPr>
                <m:ctrlPr>
                  <w:rPr>
                    <w:rFonts w:ascii="Cambria Math" w:hAnsi="Cambria Math"/>
                  </w:rPr>
                </m:ctrlPr>
              </m:sSubSupPr>
              <m:e>
                <m:r>
                  <w:rPr>
                    <w:rFonts w:ascii="Cambria Math" w:hAnsi="Cambria Math"/>
                  </w:rPr>
                  <m:t>r</m:t>
                </m:r>
              </m:e>
              <m:sub>
                <m:r>
                  <m:rPr>
                    <m:lit/>
                    <m:nor/>
                  </m:rPr>
                  <w:rPr>
                    <w:rFonts w:ascii="Cambria Math" w:hAnsi="Cambria Math"/>
                  </w:rPr>
                  <m:t>dry</m:t>
                </m:r>
              </m:sub>
              <m:sup>
                <m:r>
                  <w:rPr>
                    <w:rFonts w:ascii="Cambria Math" w:hAnsi="Cambria Math"/>
                  </w:rPr>
                  <m:t>-1</m:t>
                </m:r>
              </m:sup>
            </m:sSubSup>
          </m:num>
          <m:den>
            <m:r>
              <w:rPr>
                <w:rFonts w:ascii="Cambria Math" w:hAnsi="Cambria Math"/>
              </w:rPr>
              <m:t>s+γ</m:t>
            </m:r>
            <m:d>
              <m:dPr>
                <m:ctrlPr>
                  <w:rPr>
                    <w:rFonts w:ascii="Cambria Math" w:hAnsi="Cambria Math"/>
                  </w:rPr>
                </m:ctrlPr>
              </m:dPr>
              <m:e>
                <m:r>
                  <w:rPr>
                    <w:rFonts w:ascii="Cambria Math" w:hAnsi="Cambria Math"/>
                  </w:rPr>
                  <m:t>1+</m:t>
                </m:r>
                <m:sSubSup>
                  <m:sSubSupPr>
                    <m:ctrlPr>
                      <w:rPr>
                        <w:rFonts w:ascii="Cambria Math" w:hAnsi="Cambria Math"/>
                      </w:rPr>
                    </m:ctrlPr>
                  </m:sSubSupPr>
                  <m:e>
                    <m:r>
                      <w:rPr>
                        <w:rFonts w:ascii="Cambria Math" w:hAnsi="Cambria Math"/>
                      </w:rPr>
                      <m:t>C</m:t>
                    </m:r>
                  </m:e>
                  <m:sub>
                    <m:r>
                      <w:rPr>
                        <w:rFonts w:ascii="Cambria Math" w:hAnsi="Cambria Math"/>
                      </w:rPr>
                      <m:t>C</m:t>
                    </m:r>
                  </m:sub>
                  <m:sup>
                    <m:r>
                      <w:rPr>
                        <w:rFonts w:ascii="Cambria Math" w:hAnsi="Cambria Math"/>
                      </w:rPr>
                      <m:t>-1</m:t>
                    </m:r>
                  </m:sup>
                </m:sSubSup>
                <m:sSubSup>
                  <m:sSubSupPr>
                    <m:ctrlPr>
                      <w:rPr>
                        <w:rFonts w:ascii="Cambria Math" w:hAnsi="Cambria Math"/>
                      </w:rPr>
                    </m:ctrlPr>
                  </m:sSubSupPr>
                  <m:e>
                    <m:r>
                      <w:rPr>
                        <w:rFonts w:ascii="Cambria Math" w:hAnsi="Cambria Math"/>
                      </w:rPr>
                      <m:t>r</m:t>
                    </m:r>
                  </m:e>
                  <m:sub>
                    <m:r>
                      <m:rPr>
                        <m:lit/>
                        <m:nor/>
                      </m:rPr>
                      <w:rPr>
                        <w:rFonts w:ascii="Cambria Math" w:hAnsi="Cambria Math"/>
                      </w:rPr>
                      <m:t>dry</m:t>
                    </m:r>
                  </m:sub>
                  <m:sup>
                    <m:r>
                      <w:rPr>
                        <w:rFonts w:ascii="Cambria Math" w:hAnsi="Cambria Math"/>
                      </w:rPr>
                      <m:t>-1</m:t>
                    </m:r>
                  </m:sup>
                </m:sSubSup>
              </m:e>
            </m:d>
          </m:den>
        </m:f>
      </m:oMath>
      <w:r w:rsidR="004A2262">
        <w:tab/>
      </w:r>
      <w:r w:rsidR="004A2262">
        <w:tab/>
      </w:r>
      <w:r w:rsidR="004A2262">
        <w:tab/>
      </w:r>
      <w:r w:rsidR="004A2262">
        <w:tab/>
      </w:r>
      <w:r w:rsidR="004A2262">
        <w:tab/>
      </w:r>
      <w:r w:rsidR="004A2262">
        <w:tab/>
        <w:t>(3.36)</w:t>
      </w:r>
    </w:p>
    <w:p w14:paraId="5D834A2C" w14:textId="3EDDEDD9" w:rsidR="00031310" w:rsidRDefault="00CB453C" w:rsidP="001160FE">
      <w:pPr>
        <w:pStyle w:val="FirstParagraph"/>
        <w:spacing w:before="120"/>
        <w:jc w:val="both"/>
      </w:pPr>
      <w:r w:rsidRPr="00CB453C">
        <w:t xml:space="preserve">Nighttime has the same equation as the daytime except that </w:t>
      </w: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S</m:t>
            </m:r>
          </m:sub>
        </m:sSub>
      </m:oMath>
      <w:r w:rsidRPr="00CB453C">
        <w:t xml:space="preserve"> = 0., i.e., stomatal is closed due to no sunlight.</w:t>
      </w:r>
      <w:r>
        <w:t xml:space="preserve"> Also, if </w:t>
      </w:r>
      <m:oMath>
        <m:sSub>
          <m:sSubPr>
            <m:ctrlPr>
              <w:rPr>
                <w:rFonts w:ascii="Cambria Math" w:hAnsi="Cambria Math"/>
              </w:rPr>
            </m:ctrlPr>
          </m:sSubPr>
          <m:e>
            <m:r>
              <w:rPr>
                <w:rFonts w:ascii="Cambria Math" w:hAnsi="Cambria Math"/>
              </w:rPr>
              <m:t>F</m:t>
            </m:r>
          </m:e>
          <m:sub>
            <m:r>
              <m:rPr>
                <m:lit/>
                <m:nor/>
              </m:rPr>
              <w:rPr>
                <w:rFonts w:ascii="Cambria Math" w:hAnsi="Cambria Math"/>
              </w:rPr>
              <m:t>wet</m:t>
            </m:r>
          </m:sub>
        </m:sSub>
        <m:r>
          <w:rPr>
            <w:rFonts w:ascii="Cambria Math" w:hAnsi="Cambria Math"/>
          </w:rPr>
          <m:t>=1</m:t>
        </m:r>
      </m:oMath>
      <w:r>
        <w:t xml:space="preserve">, then </w:t>
      </w: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m:t>
            </m:r>
          </m:sub>
        </m:sSub>
        <m:r>
          <w:rPr>
            <w:rFonts w:ascii="Cambria Math" w:hAnsi="Cambria Math"/>
          </w:rPr>
          <m:t>=0</m:t>
        </m:r>
      </m:oMath>
      <w:r>
        <w:t>.</w:t>
      </w:r>
    </w:p>
    <w:p w14:paraId="10C164AF" w14:textId="3B45E7D2" w:rsidR="00031310" w:rsidRDefault="00EA4C4E" w:rsidP="00AD0E5A">
      <w:pPr>
        <w:pStyle w:val="Heading2"/>
        <w:jc w:val="both"/>
      </w:pPr>
      <w:bookmarkStart w:id="33" w:name="_Toc181041686"/>
      <w:r>
        <w:t xml:space="preserve">3.2 </w:t>
      </w:r>
      <w:bookmarkStart w:id="34" w:name="total-daily-et-and-potential-et"/>
      <w:r>
        <w:t>Total Daily ET and Potential ET</w:t>
      </w:r>
      <w:bookmarkEnd w:id="33"/>
      <w:bookmarkEnd w:id="34"/>
    </w:p>
    <w:p w14:paraId="66405A39" w14:textId="77777777" w:rsidR="00031310" w:rsidRDefault="00EA4C4E" w:rsidP="00AD0E5A">
      <w:pPr>
        <w:pStyle w:val="FirstParagraph"/>
        <w:spacing w:before="120" w:after="120"/>
        <w:jc w:val="both"/>
      </w:pPr>
      <w:r>
        <w:t>Total daily evapotranspiration (ET) is the sum of the three components, canopy evaporation (</w:t>
      </w: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canopy</m:t>
            </m:r>
          </m:sub>
        </m:sSub>
      </m:oMath>
      <w:r>
        <w:t>), bare soil evaporation (</w:t>
      </w: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m:t>
            </m:r>
          </m:sub>
        </m:sSub>
      </m:oMath>
      <w:r>
        <w:t>), and transpiration (</w:t>
      </w: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m:t>
            </m:r>
          </m:sub>
        </m:sSub>
      </m:oMath>
      <w:r>
        <w:t>)</w:t>
      </w:r>
    </w:p>
    <w:p w14:paraId="4DD235F1" w14:textId="25CD58F5" w:rsidR="00031310" w:rsidRDefault="00EA4C4E" w:rsidP="00AD0E5A">
      <w:pPr>
        <w:pStyle w:val="BodyText"/>
        <w:spacing w:before="120" w:after="120"/>
        <w:jc w:val="both"/>
      </w:pPr>
      <m:oMath>
        <m:r>
          <w:rPr>
            <w:rFonts w:ascii="Cambria Math" w:hAnsi="Cambria Math"/>
          </w:rPr>
          <m:t>λE=λ</m:t>
        </m:r>
        <m:sSub>
          <m:sSubPr>
            <m:ctrlPr>
              <w:rPr>
                <w:rFonts w:ascii="Cambria Math" w:hAnsi="Cambria Math"/>
              </w:rPr>
            </m:ctrlPr>
          </m:sSubPr>
          <m:e>
            <m:r>
              <w:rPr>
                <w:rFonts w:ascii="Cambria Math" w:hAnsi="Cambria Math"/>
              </w:rPr>
              <m:t>E</m:t>
            </m:r>
          </m:e>
          <m:sub>
            <m:r>
              <m:rPr>
                <m:lit/>
                <m:nor/>
              </m:rPr>
              <w:rPr>
                <w:rFonts w:ascii="Cambria Math" w:hAnsi="Cambria Math"/>
              </w:rPr>
              <m:t>canopy</m:t>
            </m:r>
          </m:sub>
        </m:sSub>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m:t>
            </m:r>
          </m:sub>
        </m:sSub>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m:t>
            </m:r>
          </m:sub>
        </m:sSub>
      </m:oMath>
      <w:r w:rsidR="004A2262">
        <w:tab/>
      </w:r>
      <w:r w:rsidR="004A2262">
        <w:tab/>
      </w:r>
      <w:r w:rsidR="004A2262">
        <w:tab/>
      </w:r>
      <w:r w:rsidR="004A2262">
        <w:tab/>
      </w:r>
      <w:r w:rsidR="004A2262">
        <w:tab/>
      </w:r>
      <w:r w:rsidR="004A2262">
        <w:tab/>
        <w:t>(3.37)</w:t>
      </w:r>
    </w:p>
    <w:p w14:paraId="146C3459" w14:textId="77777777" w:rsidR="00031310" w:rsidRDefault="00EA4C4E" w:rsidP="00AD0E5A">
      <w:pPr>
        <w:pStyle w:val="FirstParagraph"/>
        <w:spacing w:before="120" w:after="120"/>
        <w:jc w:val="both"/>
      </w:pPr>
      <w:r>
        <w:t>Daily potential ET (PET) is also calculated in VNP16; it is the sum of wet canopy evaporation, evaporation from saturated soil (</w:t>
      </w: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soil,sat</m:t>
            </m:r>
          </m:sub>
        </m:sSub>
      </m:oMath>
      <w:r>
        <w:t xml:space="preserve">), evaporation from unsaturated soil </w:t>
      </w:r>
      <w:r>
        <w:rPr>
          <w:i/>
        </w:rPr>
        <w:t>without</w:t>
      </w:r>
      <w:r>
        <w:t xml:space="preserve"> the soil moisture correction (</w:t>
      </w:r>
      <m:oMath>
        <m:sSub>
          <m:sSubPr>
            <m:ctrlPr>
              <w:rPr>
                <w:rFonts w:ascii="Cambria Math" w:hAnsi="Cambria Math"/>
              </w:rPr>
            </m:ctrlPr>
          </m:sSubPr>
          <m:e>
            <m:r>
              <w:rPr>
                <w:rFonts w:ascii="Cambria Math" w:hAnsi="Cambria Math"/>
              </w:rPr>
              <m:t>F</m:t>
            </m:r>
          </m:e>
          <m:sub>
            <m:r>
              <m:rPr>
                <m:lit/>
                <m:nor/>
              </m:rPr>
              <w:rPr>
                <w:rFonts w:ascii="Cambria Math" w:hAnsi="Cambria Math"/>
              </w:rPr>
              <m:t>wet</m:t>
            </m:r>
          </m:sub>
        </m:sSub>
        <m:r>
          <w:rPr>
            <w:rFonts w:ascii="Cambria Math" w:hAnsi="Cambria Math"/>
          </w:rPr>
          <m:t>λ</m:t>
        </m:r>
        <m:sSubSup>
          <m:sSubSupPr>
            <m:ctrlPr>
              <w:rPr>
                <w:rFonts w:ascii="Cambria Math" w:hAnsi="Cambria Math"/>
              </w:rPr>
            </m:ctrlPr>
          </m:sSubSupPr>
          <m:e>
            <m:r>
              <w:rPr>
                <w:rFonts w:ascii="Cambria Math" w:hAnsi="Cambria Math"/>
              </w:rPr>
              <m:t>E</m:t>
            </m:r>
          </m:e>
          <m:sub>
            <m:r>
              <m:rPr>
                <m:lit/>
                <m:nor/>
              </m:rPr>
              <w:rPr>
                <w:rFonts w:ascii="Cambria Math" w:hAnsi="Cambria Math"/>
              </w:rPr>
              <m:t>soil</m:t>
            </m:r>
          </m:sub>
          <m:sup>
            <m:r>
              <m:rPr>
                <m:lit/>
                <m:nor/>
              </m:rPr>
              <w:rPr>
                <w:rFonts w:ascii="Cambria Math" w:hAnsi="Cambria Math"/>
              </w:rPr>
              <m:t>*</m:t>
            </m:r>
          </m:sup>
        </m:sSubSup>
      </m:oMath>
      <w:r>
        <w:t>), and potential transpiration, (</w:t>
      </w: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trans,potential</m:t>
            </m:r>
          </m:sub>
        </m:sSub>
      </m:oMath>
      <w:r>
        <w:t>):</w:t>
      </w:r>
    </w:p>
    <w:p w14:paraId="1620ECFD" w14:textId="48A92DEA" w:rsidR="00031310" w:rsidRDefault="00EA4C4E" w:rsidP="00AD0E5A">
      <w:pPr>
        <w:pStyle w:val="BodyText"/>
        <w:spacing w:before="120" w:after="120"/>
        <w:jc w:val="both"/>
      </w:pP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potential</m:t>
            </m:r>
          </m:sub>
        </m:sSub>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canopy</m:t>
            </m:r>
          </m:sub>
        </m:sSub>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soil,sat</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r>
          <w:rPr>
            <w:rFonts w:ascii="Cambria Math" w:hAnsi="Cambria Math"/>
          </w:rPr>
          <m:t>λ</m:t>
        </m:r>
        <m:sSubSup>
          <m:sSubSupPr>
            <m:ctrlPr>
              <w:rPr>
                <w:rFonts w:ascii="Cambria Math" w:hAnsi="Cambria Math"/>
              </w:rPr>
            </m:ctrlPr>
          </m:sSubSupPr>
          <m:e>
            <m:r>
              <w:rPr>
                <w:rFonts w:ascii="Cambria Math" w:hAnsi="Cambria Math"/>
              </w:rPr>
              <m:t>E</m:t>
            </m:r>
          </m:e>
          <m:sub>
            <m:r>
              <m:rPr>
                <m:lit/>
                <m:nor/>
              </m:rPr>
              <w:rPr>
                <w:rFonts w:ascii="Cambria Math" w:hAnsi="Cambria Math"/>
              </w:rPr>
              <m:t>soil</m:t>
            </m:r>
          </m:sub>
          <m:sup>
            <m:r>
              <m:rPr>
                <m:lit/>
                <m:nor/>
              </m:rPr>
              <w:rPr>
                <w:rFonts w:ascii="Cambria Math" w:hAnsi="Cambria Math"/>
              </w:rPr>
              <m:t>*</m:t>
            </m:r>
          </m:sup>
        </m:sSubSup>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trans,potential</m:t>
            </m:r>
          </m:sub>
        </m:sSub>
      </m:oMath>
      <w:r w:rsidR="004A2262">
        <w:tab/>
      </w:r>
      <w:r w:rsidR="004A2262">
        <w:tab/>
        <w:t>(3.38)</w:t>
      </w:r>
    </w:p>
    <w:p w14:paraId="0830514C" w14:textId="2533C94E" w:rsidR="00031310" w:rsidRPr="00CB453C" w:rsidRDefault="00360A33" w:rsidP="00AD0E5A">
      <w:pPr>
        <w:pStyle w:val="FirstParagraph"/>
        <w:spacing w:before="120" w:after="120"/>
        <w:jc w:val="both"/>
        <w:rPr>
          <w:color w:val="000000" w:themeColor="text1"/>
        </w:rPr>
      </w:pPr>
      <w:r>
        <w:t xml:space="preserve">where </w:t>
      </w:r>
      <w:r w:rsidR="00EA4C4E">
        <w:t>potential transpiration is given by the Priestl</w:t>
      </w:r>
      <w:r>
        <w:t>e</w:t>
      </w:r>
      <w:r w:rsidR="00EA4C4E">
        <w:t>y-Taylor equation</w:t>
      </w:r>
      <w:r>
        <w:t xml:space="preserve"> </w:t>
      </w:r>
      <w:r w:rsidR="00CB453C">
        <w:t>(Priestley and Taylor, 1072):</w:t>
      </w:r>
    </w:p>
    <w:p w14:paraId="40AB8A9B" w14:textId="3DFF8DC6" w:rsidR="00031310" w:rsidRDefault="00EA4C4E" w:rsidP="00AD0E5A">
      <w:pPr>
        <w:pStyle w:val="BodyText"/>
        <w:jc w:val="both"/>
      </w:pPr>
      <m:oMath>
        <m:r>
          <w:rPr>
            <w:rFonts w:ascii="Cambria Math" w:hAnsi="Cambria Math"/>
          </w:rPr>
          <m:t>λ</m:t>
        </m:r>
        <m:sSub>
          <m:sSubPr>
            <m:ctrlPr>
              <w:rPr>
                <w:rFonts w:ascii="Cambria Math" w:hAnsi="Cambria Math"/>
              </w:rPr>
            </m:ctrlPr>
          </m:sSubPr>
          <m:e>
            <m:r>
              <w:rPr>
                <w:rFonts w:ascii="Cambria Math" w:hAnsi="Cambria Math"/>
              </w:rPr>
              <m:t>E</m:t>
            </m:r>
          </m:e>
          <m:sub>
            <m:r>
              <m:rPr>
                <m:lit/>
                <m:nor/>
              </m:rPr>
              <w:rPr>
                <w:rFonts w:ascii="Cambria Math" w:hAnsi="Cambria Math"/>
              </w:rPr>
              <m:t>trans,potential</m:t>
            </m:r>
          </m:sub>
        </m:sSub>
        <m:r>
          <w:rPr>
            <w:rFonts w:ascii="Cambria Math" w:hAnsi="Cambria Math"/>
          </w:rPr>
          <m:t>=</m:t>
        </m:r>
        <m:f>
          <m:fPr>
            <m:ctrlPr>
              <w:rPr>
                <w:rFonts w:ascii="Cambria Math" w:hAnsi="Cambria Math"/>
              </w:rPr>
            </m:ctrlPr>
          </m:fPr>
          <m:num>
            <m:r>
              <w:rPr>
                <w:rFonts w:ascii="Cambria Math" w:hAnsi="Cambria Math"/>
              </w:rPr>
              <m:t>αs</m:t>
            </m:r>
            <m:sSub>
              <m:sSubPr>
                <m:ctrlPr>
                  <w:rPr>
                    <w:rFonts w:ascii="Cambria Math" w:hAnsi="Cambria Math"/>
                  </w:rPr>
                </m:ctrlPr>
              </m:sSubPr>
              <m:e>
                <m:r>
                  <w:rPr>
                    <w:rFonts w:ascii="Cambria Math" w:hAnsi="Cambria Math"/>
                  </w:rPr>
                  <m:t>A</m:t>
                </m:r>
              </m:e>
              <m:sub>
                <m:r>
                  <w:rPr>
                    <w:rFonts w:ascii="Cambria Math" w:hAnsi="Cambria Math"/>
                  </w:rPr>
                  <m:t>C</m:t>
                </m:r>
              </m:sub>
            </m:sSub>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F</m:t>
                    </m:r>
                  </m:e>
                  <m:sub>
                    <m:r>
                      <m:rPr>
                        <m:lit/>
                        <m:nor/>
                      </m:rPr>
                      <w:rPr>
                        <w:rFonts w:ascii="Cambria Math" w:hAnsi="Cambria Math"/>
                      </w:rPr>
                      <m:t>wet</m:t>
                    </m:r>
                  </m:sub>
                </m:sSub>
              </m:e>
            </m:d>
          </m:num>
          <m:den>
            <m:r>
              <w:rPr>
                <w:rFonts w:ascii="Cambria Math" w:hAnsi="Cambria Math"/>
              </w:rPr>
              <m:t>s+γ</m:t>
            </m:r>
          </m:den>
        </m:f>
      </m:oMath>
      <w:r w:rsidR="004A2262">
        <w:tab/>
      </w:r>
      <w:r w:rsidR="004A2262">
        <w:tab/>
      </w:r>
      <w:r w:rsidR="004A2262">
        <w:tab/>
      </w:r>
      <w:r w:rsidR="004A2262">
        <w:tab/>
      </w:r>
      <w:r w:rsidR="004A2262">
        <w:tab/>
      </w:r>
      <w:r w:rsidR="004A2262">
        <w:tab/>
      </w:r>
      <w:r w:rsidR="004A2262">
        <w:tab/>
        <w:t>(3.39)</w:t>
      </w:r>
    </w:p>
    <w:p w14:paraId="0FF1266A" w14:textId="43749AA5" w:rsidR="00031310" w:rsidRDefault="00E01552" w:rsidP="00AD0E5A">
      <w:pPr>
        <w:pStyle w:val="FirstParagraph"/>
        <w:jc w:val="both"/>
      </w:pPr>
      <w:r>
        <w:t xml:space="preserve">where </w:t>
      </w:r>
      <m:oMath>
        <m:r>
          <w:rPr>
            <w:rFonts w:ascii="Cambria Math" w:hAnsi="Cambria Math"/>
          </w:rPr>
          <m:t>α=1.26</m:t>
        </m:r>
      </m:oMath>
      <w:r w:rsidR="00EA4C4E">
        <w:t>.</w:t>
      </w:r>
    </w:p>
    <w:p w14:paraId="315B7CA3" w14:textId="765669B2" w:rsidR="00031310" w:rsidRDefault="00EA4C4E" w:rsidP="00AD0E5A">
      <w:pPr>
        <w:pStyle w:val="BodyText"/>
        <w:spacing w:before="120"/>
        <w:ind w:firstLine="432"/>
        <w:jc w:val="both"/>
      </w:pPr>
      <w:r>
        <w:t xml:space="preserve">Note that </w:t>
      </w:r>
      <w:r w:rsidR="00E91362">
        <w:t xml:space="preserve">all </w:t>
      </w:r>
      <w:r>
        <w:t>ET values are given in energy units (W m</w:t>
      </w:r>
      <w:r>
        <w:rPr>
          <w:vertAlign w:val="superscript"/>
        </w:rPr>
        <w:t>-2</w:t>
      </w:r>
      <w:r>
        <w:t>). If you wish to obtain a water vapor mass flux (units: kg per square meter per second), then divide by the latent heat of vaporization (</w:t>
      </w:r>
      <m:oMath>
        <m:r>
          <w:rPr>
            <w:rFonts w:ascii="Cambria Math" w:hAnsi="Cambria Math"/>
          </w:rPr>
          <m:t>λ</m:t>
        </m:r>
      </m:oMath>
      <w:r>
        <w:t xml:space="preserve">, units: J per kilogram). Because 1 kg of pure water covers a square meter to 1 mm thickness, the mass flux </w:t>
      </w:r>
      <w:r w:rsidR="00360A33">
        <w:t>(kg m</w:t>
      </w:r>
      <w:r w:rsidR="00360A33" w:rsidRPr="00CB453C">
        <w:rPr>
          <w:vertAlign w:val="superscript"/>
        </w:rPr>
        <w:t>-2</w:t>
      </w:r>
      <w:r w:rsidR="00360A33">
        <w:t xml:space="preserve"> s</w:t>
      </w:r>
      <w:r w:rsidR="00360A33" w:rsidRPr="00CB453C">
        <w:rPr>
          <w:vertAlign w:val="superscript"/>
        </w:rPr>
        <w:t>-1</w:t>
      </w:r>
      <w:r w:rsidR="00360A33">
        <w:t xml:space="preserve">) </w:t>
      </w:r>
      <w:r>
        <w:t>is also equivalent to millimeters per second</w:t>
      </w:r>
      <w:r w:rsidR="00360A33">
        <w:t xml:space="preserve"> (mm s</w:t>
      </w:r>
      <w:r w:rsidR="00360A33" w:rsidRPr="00CB453C">
        <w:rPr>
          <w:vertAlign w:val="superscript"/>
        </w:rPr>
        <w:t>-1</w:t>
      </w:r>
      <w:r w:rsidR="00360A33">
        <w:t>)</w:t>
      </w:r>
      <w:r>
        <w:t>.</w:t>
      </w:r>
    </w:p>
    <w:p w14:paraId="1DC941AC" w14:textId="77777777" w:rsidR="00031310" w:rsidRDefault="00EA4C4E" w:rsidP="00AD0E5A">
      <w:pPr>
        <w:pStyle w:val="Heading2"/>
        <w:jc w:val="both"/>
      </w:pPr>
      <w:r>
        <w:br w:type="page"/>
      </w:r>
    </w:p>
    <w:p w14:paraId="4CE92FC3" w14:textId="34B83303" w:rsidR="00031310" w:rsidRDefault="00EA4C4E">
      <w:pPr>
        <w:pStyle w:val="Heading2"/>
      </w:pPr>
      <w:bookmarkStart w:id="35" w:name="_Toc181041687"/>
      <w:r>
        <w:lastRenderedPageBreak/>
        <w:t xml:space="preserve">3.3 </w:t>
      </w:r>
      <w:bookmarkStart w:id="36" w:name="free-parameters"/>
      <w:r>
        <w:t>Free Parameters</w:t>
      </w:r>
      <w:bookmarkEnd w:id="35"/>
      <w:bookmarkEnd w:id="36"/>
    </w:p>
    <w:p w14:paraId="28DA223C" w14:textId="3A8484A3" w:rsidR="00031310" w:rsidRDefault="00EA4C4E">
      <w:pPr>
        <w:pStyle w:val="TableCaption"/>
      </w:pPr>
      <w:r>
        <w:t xml:space="preserve">Table </w:t>
      </w:r>
      <w:r w:rsidR="00B825B3">
        <w:t>3.</w:t>
      </w:r>
      <w:r>
        <w:t>1: The free parameters (calibrated parameters) used in MOD16 and VNP16.</w:t>
      </w:r>
    </w:p>
    <w:tbl>
      <w:tblPr>
        <w:tblW w:w="9360" w:type="dxa"/>
        <w:tblInd w:w="58" w:type="dxa"/>
        <w:tblLayout w:type="fixed"/>
        <w:tblCellMar>
          <w:top w:w="58" w:type="dxa"/>
          <w:left w:w="58" w:type="dxa"/>
          <w:bottom w:w="58" w:type="dxa"/>
          <w:right w:w="58" w:type="dxa"/>
        </w:tblCellMar>
        <w:tblLook w:val="04A0" w:firstRow="1" w:lastRow="0" w:firstColumn="1" w:lastColumn="0" w:noHBand="0" w:noVBand="1"/>
      </w:tblPr>
      <w:tblGrid>
        <w:gridCol w:w="2160"/>
        <w:gridCol w:w="7200"/>
      </w:tblGrid>
      <w:tr w:rsidR="00031310" w14:paraId="2E937EAC" w14:textId="77777777">
        <w:trPr>
          <w:tblHeader/>
        </w:trPr>
        <w:tc>
          <w:tcPr>
            <w:tcW w:w="2160" w:type="dxa"/>
          </w:tcPr>
          <w:p w14:paraId="53601BD5" w14:textId="77777777" w:rsidR="00031310" w:rsidRDefault="00EA4C4E">
            <w:pPr>
              <w:pStyle w:val="TableHeading"/>
              <w:widowControl w:val="0"/>
              <w:jc w:val="left"/>
            </w:pPr>
            <w:r>
              <w:t>Parameter</w:t>
            </w:r>
          </w:p>
        </w:tc>
        <w:tc>
          <w:tcPr>
            <w:tcW w:w="7199" w:type="dxa"/>
          </w:tcPr>
          <w:p w14:paraId="29189186" w14:textId="77777777" w:rsidR="00031310" w:rsidRDefault="00EA4C4E">
            <w:pPr>
              <w:pStyle w:val="TableHeading"/>
              <w:widowControl w:val="0"/>
              <w:jc w:val="left"/>
            </w:pPr>
            <w:r>
              <w:t>Description</w:t>
            </w:r>
          </w:p>
        </w:tc>
      </w:tr>
      <w:tr w:rsidR="00031310" w14:paraId="05698F23" w14:textId="77777777">
        <w:tc>
          <w:tcPr>
            <w:tcW w:w="2160" w:type="dxa"/>
            <w:tcBorders>
              <w:top w:val="single" w:sz="2" w:space="0" w:color="000000"/>
            </w:tcBorders>
          </w:tcPr>
          <w:p w14:paraId="6B6F60C7" w14:textId="77777777" w:rsidR="00031310" w:rsidRDefault="00000000">
            <w:pPr>
              <w:pStyle w:val="BodyText"/>
              <w:widowControl w:val="0"/>
              <w:ind w:firstLine="0"/>
            </w:pPr>
            <m:oMathPara>
              <m:oMathParaPr>
                <m:jc m:val="left"/>
              </m:oMathParaPr>
              <m:oMath>
                <m:sSub>
                  <m:sSubPr>
                    <m:ctrlPr>
                      <w:rPr>
                        <w:rFonts w:ascii="Cambria Math" w:hAnsi="Cambria Math"/>
                      </w:rPr>
                    </m:ctrlPr>
                  </m:sSubPr>
                  <m:e>
                    <m:r>
                      <w:rPr>
                        <w:rFonts w:ascii="Cambria Math" w:hAnsi="Cambria Math"/>
                      </w:rPr>
                      <m:t>T</m:t>
                    </m:r>
                  </m:e>
                  <m:sub>
                    <m:r>
                      <m:rPr>
                        <m:lit/>
                        <m:nor/>
                      </m:rPr>
                      <w:rPr>
                        <w:rFonts w:ascii="Cambria Math" w:hAnsi="Cambria Math"/>
                      </w:rPr>
                      <m:t>min,close</m:t>
                    </m:r>
                  </m:sub>
                </m:sSub>
              </m:oMath>
            </m:oMathPara>
          </w:p>
        </w:tc>
        <w:tc>
          <w:tcPr>
            <w:tcW w:w="7199" w:type="dxa"/>
            <w:tcBorders>
              <w:top w:val="single" w:sz="2" w:space="0" w:color="000000"/>
              <w:left w:val="single" w:sz="2" w:space="0" w:color="000000"/>
            </w:tcBorders>
          </w:tcPr>
          <w:p w14:paraId="2AE09965" w14:textId="77777777" w:rsidR="00031310" w:rsidRDefault="00EA4C4E">
            <w:pPr>
              <w:pStyle w:val="BodyText"/>
              <w:widowControl w:val="0"/>
              <w:ind w:firstLine="0"/>
            </w:pPr>
            <w:r>
              <w:t>Temperature at which stomata almost completely closed (C)</w:t>
            </w:r>
          </w:p>
        </w:tc>
      </w:tr>
      <w:tr w:rsidR="00031310" w14:paraId="547D4CC4" w14:textId="77777777">
        <w:tc>
          <w:tcPr>
            <w:tcW w:w="2160" w:type="dxa"/>
          </w:tcPr>
          <w:p w14:paraId="3DA4E438"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T</m:t>
                    </m:r>
                  </m:e>
                  <m:sub>
                    <m:r>
                      <m:rPr>
                        <m:lit/>
                        <m:nor/>
                      </m:rPr>
                      <w:rPr>
                        <w:rFonts w:ascii="Cambria Math" w:hAnsi="Cambria Math"/>
                      </w:rPr>
                      <m:t>min,open</m:t>
                    </m:r>
                  </m:sub>
                </m:sSub>
              </m:oMath>
            </m:oMathPara>
          </w:p>
        </w:tc>
        <w:tc>
          <w:tcPr>
            <w:tcW w:w="7199" w:type="dxa"/>
            <w:tcBorders>
              <w:left w:val="single" w:sz="2" w:space="0" w:color="000000"/>
            </w:tcBorders>
          </w:tcPr>
          <w:p w14:paraId="79D3FC27" w14:textId="77777777" w:rsidR="00031310" w:rsidRDefault="00EA4C4E">
            <w:pPr>
              <w:pStyle w:val="BodyText"/>
              <w:widowControl w:val="0"/>
              <w:ind w:firstLine="0"/>
            </w:pPr>
            <w:r>
              <w:t>Temperature at which stomata almost fully opened (C)</w:t>
            </w:r>
          </w:p>
        </w:tc>
      </w:tr>
      <w:tr w:rsidR="00031310" w14:paraId="1270B996" w14:textId="77777777">
        <w:tc>
          <w:tcPr>
            <w:tcW w:w="2160" w:type="dxa"/>
          </w:tcPr>
          <w:p w14:paraId="65F6EAEB" w14:textId="77777777" w:rsidR="00031310" w:rsidRDefault="00000000">
            <w:pPr>
              <w:pStyle w:val="TableContents"/>
              <w:widowControl w:val="0"/>
            </w:pPr>
            <m:oMathPara>
              <m:oMathParaPr>
                <m:jc m:val="left"/>
              </m:oMathParaPr>
              <m:oMath>
                <m:sSub>
                  <m:sSubPr>
                    <m:ctrlPr>
                      <w:rPr>
                        <w:rFonts w:ascii="Cambria Math" w:hAnsi="Cambria Math"/>
                      </w:rPr>
                    </m:ctrlPr>
                  </m:sSubPr>
                  <m:e>
                    <m:r>
                      <m:rPr>
                        <m:lit/>
                        <m:nor/>
                      </m:rPr>
                      <w:rPr>
                        <w:rFonts w:ascii="Cambria Math" w:hAnsi="Cambria Math"/>
                      </w:rPr>
                      <m:t>VPD</m:t>
                    </m:r>
                  </m:e>
                  <m:sub>
                    <m:r>
                      <m:rPr>
                        <m:lit/>
                        <m:nor/>
                      </m:rPr>
                      <w:rPr>
                        <w:rFonts w:ascii="Cambria Math" w:hAnsi="Cambria Math"/>
                      </w:rPr>
                      <m:t>close</m:t>
                    </m:r>
                  </m:sub>
                </m:sSub>
              </m:oMath>
            </m:oMathPara>
          </w:p>
        </w:tc>
        <w:tc>
          <w:tcPr>
            <w:tcW w:w="7199" w:type="dxa"/>
            <w:tcBorders>
              <w:left w:val="single" w:sz="2" w:space="0" w:color="000000"/>
            </w:tcBorders>
          </w:tcPr>
          <w:p w14:paraId="4C9F32E8" w14:textId="77777777" w:rsidR="00031310" w:rsidRDefault="00EA4C4E">
            <w:pPr>
              <w:pStyle w:val="BodyText"/>
              <w:widowControl w:val="0"/>
              <w:ind w:firstLine="0"/>
            </w:pPr>
            <w:r>
              <w:t>VPD at which stomata are almost completely closed (Pa)</w:t>
            </w:r>
          </w:p>
        </w:tc>
      </w:tr>
      <w:tr w:rsidR="00031310" w14:paraId="347194DF" w14:textId="77777777">
        <w:tc>
          <w:tcPr>
            <w:tcW w:w="2160" w:type="dxa"/>
          </w:tcPr>
          <w:p w14:paraId="098C7807" w14:textId="77777777" w:rsidR="00031310" w:rsidRDefault="00000000">
            <w:pPr>
              <w:pStyle w:val="TableContents"/>
              <w:widowControl w:val="0"/>
            </w:pPr>
            <m:oMathPara>
              <m:oMathParaPr>
                <m:jc m:val="left"/>
              </m:oMathParaPr>
              <m:oMath>
                <m:sSub>
                  <m:sSubPr>
                    <m:ctrlPr>
                      <w:rPr>
                        <w:rFonts w:ascii="Cambria Math" w:hAnsi="Cambria Math"/>
                      </w:rPr>
                    </m:ctrlPr>
                  </m:sSubPr>
                  <m:e>
                    <m:r>
                      <m:rPr>
                        <m:lit/>
                        <m:nor/>
                      </m:rPr>
                      <w:rPr>
                        <w:rFonts w:ascii="Cambria Math" w:hAnsi="Cambria Math"/>
                      </w:rPr>
                      <m:t>VPD</m:t>
                    </m:r>
                  </m:e>
                  <m:sub>
                    <m:r>
                      <m:rPr>
                        <m:lit/>
                        <m:nor/>
                      </m:rPr>
                      <w:rPr>
                        <w:rFonts w:ascii="Cambria Math" w:hAnsi="Cambria Math"/>
                      </w:rPr>
                      <m:t>open</m:t>
                    </m:r>
                  </m:sub>
                </m:sSub>
              </m:oMath>
            </m:oMathPara>
          </w:p>
        </w:tc>
        <w:tc>
          <w:tcPr>
            <w:tcW w:w="7199" w:type="dxa"/>
            <w:tcBorders>
              <w:left w:val="single" w:sz="2" w:space="0" w:color="000000"/>
            </w:tcBorders>
          </w:tcPr>
          <w:p w14:paraId="6CE5516C" w14:textId="77777777" w:rsidR="00031310" w:rsidRDefault="00EA4C4E">
            <w:pPr>
              <w:pStyle w:val="BodyText"/>
              <w:widowControl w:val="0"/>
              <w:ind w:firstLine="0"/>
            </w:pPr>
            <w:r>
              <w:t>VPD at which stomata are almost completely opened (Pa)</w:t>
            </w:r>
          </w:p>
        </w:tc>
      </w:tr>
      <w:tr w:rsidR="00031310" w14:paraId="5E5DF917" w14:textId="77777777">
        <w:tc>
          <w:tcPr>
            <w:tcW w:w="2160" w:type="dxa"/>
          </w:tcPr>
          <w:p w14:paraId="0468F393"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g</m:t>
                    </m:r>
                  </m:e>
                  <m:sub>
                    <m:r>
                      <w:rPr>
                        <w:rFonts w:ascii="Cambria Math" w:hAnsi="Cambria Math"/>
                      </w:rPr>
                      <m:t>SH</m:t>
                    </m:r>
                  </m:sub>
                </m:sSub>
              </m:oMath>
            </m:oMathPara>
          </w:p>
        </w:tc>
        <w:tc>
          <w:tcPr>
            <w:tcW w:w="7199" w:type="dxa"/>
            <w:tcBorders>
              <w:left w:val="single" w:sz="2" w:space="0" w:color="000000"/>
            </w:tcBorders>
          </w:tcPr>
          <w:p w14:paraId="49550998" w14:textId="77777777" w:rsidR="00031310" w:rsidRDefault="00EA4C4E">
            <w:pPr>
              <w:pStyle w:val="BodyText"/>
              <w:widowControl w:val="0"/>
              <w:ind w:firstLine="0"/>
            </w:pPr>
            <w:r>
              <w:t>Leaf conductance to sensible heat per unit LAI (m s</w:t>
            </w:r>
            <w:r w:rsidRPr="00E07E20">
              <w:rPr>
                <w:vertAlign w:val="superscript"/>
              </w:rPr>
              <w:t>-1</w:t>
            </w:r>
            <w:r>
              <w:t xml:space="preserve"> LAI</w:t>
            </w:r>
            <w:r w:rsidRPr="00E07E20">
              <w:rPr>
                <w:vertAlign w:val="superscript"/>
              </w:rPr>
              <w:t>-1</w:t>
            </w:r>
            <w:r>
              <w:t>)</w:t>
            </w:r>
          </w:p>
        </w:tc>
      </w:tr>
      <w:tr w:rsidR="00031310" w14:paraId="21D30566" w14:textId="77777777">
        <w:tc>
          <w:tcPr>
            <w:tcW w:w="2160" w:type="dxa"/>
          </w:tcPr>
          <w:p w14:paraId="5629BE45"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g</m:t>
                    </m:r>
                  </m:e>
                  <m:sub>
                    <m:r>
                      <w:rPr>
                        <w:rFonts w:ascii="Cambria Math" w:hAnsi="Cambria Math"/>
                      </w:rPr>
                      <m:t>WV</m:t>
                    </m:r>
                  </m:sub>
                </m:sSub>
              </m:oMath>
            </m:oMathPara>
          </w:p>
        </w:tc>
        <w:tc>
          <w:tcPr>
            <w:tcW w:w="7199" w:type="dxa"/>
            <w:tcBorders>
              <w:left w:val="single" w:sz="2" w:space="0" w:color="000000"/>
            </w:tcBorders>
          </w:tcPr>
          <w:p w14:paraId="1A7551E2" w14:textId="77777777" w:rsidR="00031310" w:rsidRDefault="00EA4C4E">
            <w:pPr>
              <w:pStyle w:val="BodyText"/>
              <w:widowControl w:val="0"/>
              <w:ind w:firstLine="0"/>
            </w:pPr>
            <w:r>
              <w:t>Leaf cond. to evaporated water per unit LAI (m s</w:t>
            </w:r>
            <w:r w:rsidRPr="00E07E20">
              <w:rPr>
                <w:vertAlign w:val="superscript"/>
              </w:rPr>
              <w:t>-1</w:t>
            </w:r>
            <w:r>
              <w:t xml:space="preserve"> LAI</w:t>
            </w:r>
            <w:r w:rsidRPr="00E07E20">
              <w:rPr>
                <w:vertAlign w:val="superscript"/>
              </w:rPr>
              <w:t>-1</w:t>
            </w:r>
            <w:r>
              <w:t>)</w:t>
            </w:r>
          </w:p>
        </w:tc>
      </w:tr>
      <w:tr w:rsidR="00031310" w14:paraId="464C56F1" w14:textId="77777777">
        <w:tc>
          <w:tcPr>
            <w:tcW w:w="2160" w:type="dxa"/>
          </w:tcPr>
          <w:p w14:paraId="3782D9AB"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g</m:t>
                    </m:r>
                  </m:e>
                  <m:sub>
                    <m:r>
                      <m:rPr>
                        <m:lit/>
                        <m:nor/>
                      </m:rPr>
                      <w:rPr>
                        <w:rFonts w:ascii="Cambria Math" w:hAnsi="Cambria Math"/>
                      </w:rPr>
                      <m:t>cuticular</m:t>
                    </m:r>
                  </m:sub>
                </m:sSub>
              </m:oMath>
            </m:oMathPara>
          </w:p>
        </w:tc>
        <w:tc>
          <w:tcPr>
            <w:tcW w:w="7199" w:type="dxa"/>
            <w:tcBorders>
              <w:left w:val="single" w:sz="2" w:space="0" w:color="000000"/>
            </w:tcBorders>
          </w:tcPr>
          <w:p w14:paraId="31E55721" w14:textId="77777777" w:rsidR="00031310" w:rsidRDefault="00EA4C4E">
            <w:pPr>
              <w:pStyle w:val="BodyText"/>
              <w:widowControl w:val="0"/>
              <w:ind w:firstLine="0"/>
            </w:pPr>
            <w:r>
              <w:t>Leaf cuticular conductance (m s</w:t>
            </w:r>
            <w:r w:rsidRPr="00E07E20">
              <w:rPr>
                <w:vertAlign w:val="superscript"/>
              </w:rPr>
              <w:t>-1</w:t>
            </w:r>
            <w:r>
              <w:t>)</w:t>
            </w:r>
          </w:p>
        </w:tc>
      </w:tr>
      <w:tr w:rsidR="00031310" w14:paraId="5B8A72D4" w14:textId="77777777">
        <w:tc>
          <w:tcPr>
            <w:tcW w:w="2160" w:type="dxa"/>
          </w:tcPr>
          <w:p w14:paraId="79B0401A"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L</m:t>
                    </m:r>
                  </m:sub>
                </m:sSub>
              </m:oMath>
            </m:oMathPara>
          </w:p>
        </w:tc>
        <w:tc>
          <w:tcPr>
            <w:tcW w:w="7199" w:type="dxa"/>
            <w:tcBorders>
              <w:left w:val="single" w:sz="2" w:space="0" w:color="000000"/>
            </w:tcBorders>
          </w:tcPr>
          <w:p w14:paraId="79981C81" w14:textId="77777777" w:rsidR="00031310" w:rsidRDefault="00EA4C4E">
            <w:pPr>
              <w:pStyle w:val="BodyText"/>
              <w:widowControl w:val="0"/>
              <w:ind w:firstLine="0"/>
            </w:pPr>
            <w:r>
              <w:t>Mean potential stomatal cond. per unit leaf area (m s</w:t>
            </w:r>
            <w:r w:rsidRPr="00E07E20">
              <w:rPr>
                <w:vertAlign w:val="superscript"/>
              </w:rPr>
              <w:t>-1</w:t>
            </w:r>
            <w:r>
              <w:t>)</w:t>
            </w:r>
          </w:p>
        </w:tc>
      </w:tr>
      <w:tr w:rsidR="00031310" w14:paraId="7D5CEC4B" w14:textId="77777777">
        <w:tc>
          <w:tcPr>
            <w:tcW w:w="2160" w:type="dxa"/>
          </w:tcPr>
          <w:p w14:paraId="6964137E"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r</m:t>
                    </m:r>
                  </m:e>
                  <m:sub>
                    <m:r>
                      <m:rPr>
                        <m:lit/>
                        <m:nor/>
                      </m:rPr>
                      <w:rPr>
                        <w:rFonts w:ascii="Cambria Math" w:hAnsi="Cambria Math"/>
                      </w:rPr>
                      <m:t>BL,min</m:t>
                    </m:r>
                  </m:sub>
                </m:sSub>
              </m:oMath>
            </m:oMathPara>
          </w:p>
        </w:tc>
        <w:tc>
          <w:tcPr>
            <w:tcW w:w="7199" w:type="dxa"/>
            <w:tcBorders>
              <w:left w:val="single" w:sz="2" w:space="0" w:color="000000"/>
            </w:tcBorders>
          </w:tcPr>
          <w:p w14:paraId="3F4CB8DE" w14:textId="77777777" w:rsidR="00031310" w:rsidRDefault="00EA4C4E">
            <w:pPr>
              <w:pStyle w:val="BodyText"/>
              <w:widowControl w:val="0"/>
              <w:ind w:firstLine="0"/>
            </w:pPr>
            <w:r>
              <w:t>Minimum leaf boundary layer resistance (s m</w:t>
            </w:r>
            <w:r w:rsidRPr="00E07E20">
              <w:rPr>
                <w:vertAlign w:val="superscript"/>
              </w:rPr>
              <w:t>-1</w:t>
            </w:r>
            <w:r>
              <w:t>)</w:t>
            </w:r>
          </w:p>
        </w:tc>
      </w:tr>
      <w:tr w:rsidR="00031310" w14:paraId="2E11D848" w14:textId="77777777">
        <w:tc>
          <w:tcPr>
            <w:tcW w:w="2160" w:type="dxa"/>
          </w:tcPr>
          <w:p w14:paraId="70E1FCAB" w14:textId="77777777" w:rsidR="00031310" w:rsidRDefault="00000000">
            <w:pPr>
              <w:pStyle w:val="TableContents"/>
              <w:widowControl w:val="0"/>
            </w:pPr>
            <m:oMathPara>
              <m:oMathParaPr>
                <m:jc m:val="left"/>
              </m:oMathParaPr>
              <m:oMath>
                <m:sSub>
                  <m:sSubPr>
                    <m:ctrlPr>
                      <w:rPr>
                        <w:rFonts w:ascii="Cambria Math" w:hAnsi="Cambria Math"/>
                      </w:rPr>
                    </m:ctrlPr>
                  </m:sSubPr>
                  <m:e>
                    <m:r>
                      <w:rPr>
                        <w:rFonts w:ascii="Cambria Math" w:hAnsi="Cambria Math"/>
                      </w:rPr>
                      <m:t>r</m:t>
                    </m:r>
                  </m:e>
                  <m:sub>
                    <m:r>
                      <m:rPr>
                        <m:lit/>
                        <m:nor/>
                      </m:rPr>
                      <w:rPr>
                        <w:rFonts w:ascii="Cambria Math" w:hAnsi="Cambria Math"/>
                      </w:rPr>
                      <m:t>BL,max</m:t>
                    </m:r>
                  </m:sub>
                </m:sSub>
              </m:oMath>
            </m:oMathPara>
          </w:p>
        </w:tc>
        <w:tc>
          <w:tcPr>
            <w:tcW w:w="7199" w:type="dxa"/>
            <w:tcBorders>
              <w:left w:val="single" w:sz="2" w:space="0" w:color="000000"/>
            </w:tcBorders>
          </w:tcPr>
          <w:p w14:paraId="28A71D0A" w14:textId="77777777" w:rsidR="00031310" w:rsidRDefault="00EA4C4E">
            <w:pPr>
              <w:pStyle w:val="BodyText"/>
              <w:widowControl w:val="0"/>
              <w:ind w:firstLine="0"/>
            </w:pPr>
            <w:r>
              <w:t>Maximum leaf boundary layer resistance (s m</w:t>
            </w:r>
            <w:r w:rsidRPr="00E07E20">
              <w:rPr>
                <w:vertAlign w:val="superscript"/>
              </w:rPr>
              <w:t>-1</w:t>
            </w:r>
            <w:r>
              <w:t>)</w:t>
            </w:r>
          </w:p>
        </w:tc>
      </w:tr>
      <w:tr w:rsidR="00031310" w14:paraId="4AA59476" w14:textId="77777777">
        <w:tc>
          <w:tcPr>
            <w:tcW w:w="2160" w:type="dxa"/>
          </w:tcPr>
          <w:p w14:paraId="7DA31F37" w14:textId="77777777" w:rsidR="00031310" w:rsidRDefault="00EA4C4E">
            <w:pPr>
              <w:pStyle w:val="TableContents"/>
              <w:widowControl w:val="0"/>
            </w:pPr>
            <m:oMathPara>
              <m:oMathParaPr>
                <m:jc m:val="left"/>
              </m:oMathParaPr>
              <m:oMath>
                <m:r>
                  <w:rPr>
                    <w:rFonts w:ascii="Cambria Math" w:hAnsi="Cambria Math"/>
                  </w:rPr>
                  <m:t>β</m:t>
                </m:r>
              </m:oMath>
            </m:oMathPara>
          </w:p>
        </w:tc>
        <w:tc>
          <w:tcPr>
            <w:tcW w:w="7199" w:type="dxa"/>
            <w:tcBorders>
              <w:left w:val="single" w:sz="2" w:space="0" w:color="000000"/>
            </w:tcBorders>
          </w:tcPr>
          <w:p w14:paraId="75F171BF" w14:textId="34C293EA" w:rsidR="00031310" w:rsidRDefault="00EA4C4E">
            <w:pPr>
              <w:pStyle w:val="BodyText"/>
              <w:widowControl w:val="0"/>
              <w:ind w:firstLine="0"/>
            </w:pPr>
            <w:r>
              <w:t>Soil moisture constraint on potential soil evaporation</w:t>
            </w:r>
          </w:p>
        </w:tc>
      </w:tr>
    </w:tbl>
    <w:p w14:paraId="4D3D583F" w14:textId="77777777" w:rsidR="00031310" w:rsidRDefault="00031310"/>
    <w:p w14:paraId="456F3982" w14:textId="7524AC5C" w:rsidR="00031310" w:rsidRDefault="00EA4C4E">
      <w:pPr>
        <w:pStyle w:val="Heading1"/>
      </w:pPr>
      <w:bookmarkStart w:id="37" w:name="_Toc181041688"/>
      <w:r>
        <w:t>4</w:t>
      </w:r>
      <w:r w:rsidR="00742BD2">
        <w:rPr>
          <w:rFonts w:ascii="wasy10" w:eastAsia="wasy10" w:hAnsi="wasy10" w:cs="wasy10"/>
        </w:rPr>
        <w:t>.</w:t>
      </w:r>
      <w:r>
        <w:t xml:space="preserve"> </w:t>
      </w:r>
      <w:bookmarkStart w:id="38" w:name="X90aafa403833e61da6a579626df7dec4fcb5860"/>
      <w:r>
        <w:t>Operational Details and Uncertainty of VNP16</w:t>
      </w:r>
      <w:bookmarkEnd w:id="37"/>
      <w:bookmarkEnd w:id="38"/>
    </w:p>
    <w:p w14:paraId="56FE1B26" w14:textId="1819F87C" w:rsidR="00031310" w:rsidRDefault="00EA4C4E" w:rsidP="00E07E20">
      <w:pPr>
        <w:pStyle w:val="FirstParagraph"/>
        <w:jc w:val="both"/>
      </w:pPr>
      <w:r>
        <w:t>VNP16 combines operational, remotely sensed data and global, hourly meteorological data. This section discusses some of the assumptions and special issues involved in development of the input variables and their influence on the final ET estimates.</w:t>
      </w:r>
    </w:p>
    <w:p w14:paraId="6D64625C" w14:textId="4E29808C" w:rsidR="00031310" w:rsidRDefault="00EA4C4E">
      <w:pPr>
        <w:pStyle w:val="Heading2"/>
      </w:pPr>
      <w:bookmarkStart w:id="39" w:name="_Toc181041689"/>
      <w:r>
        <w:t xml:space="preserve">4.1 </w:t>
      </w:r>
      <w:bookmarkStart w:id="40" w:name="X7717e04f05986d2e1c77f548e4c15ad0ea02b08"/>
      <w:r>
        <w:t>Dependence on MODIS Land-Cover Classification</w:t>
      </w:r>
      <w:bookmarkEnd w:id="39"/>
      <w:bookmarkEnd w:id="40"/>
    </w:p>
    <w:p w14:paraId="3F1E504B" w14:textId="76CC4402" w:rsidR="00031310" w:rsidRDefault="00EA4C4E" w:rsidP="00E07E20">
      <w:pPr>
        <w:pStyle w:val="FirstParagraph"/>
        <w:jc w:val="both"/>
      </w:pPr>
      <w:r>
        <w:t>The current C</w:t>
      </w:r>
      <w:r w:rsidR="001B0740">
        <w:t>2</w:t>
      </w:r>
      <w:r>
        <w:t xml:space="preserve"> VNP16 </w:t>
      </w:r>
      <w:r w:rsidR="00711C9C">
        <w:t xml:space="preserve">product </w:t>
      </w:r>
      <w:r>
        <w:t xml:space="preserve">uses the same land-cover data as the operational Collection 6.1 500-m MODIS ET: a 3-year smoothed land cover data set based on </w:t>
      </w:r>
      <w:r w:rsidR="001B23B4">
        <w:t xml:space="preserve">the </w:t>
      </w:r>
      <w:r>
        <w:t>land cover type 1</w:t>
      </w:r>
      <w:r w:rsidR="001B23B4">
        <w:t xml:space="preserve"> classification</w:t>
      </w:r>
      <w:r>
        <w:t xml:space="preserve"> </w:t>
      </w:r>
      <w:r w:rsidR="001B23B4">
        <w:t xml:space="preserve">used </w:t>
      </w:r>
      <w:r>
        <w:t>in the Collection 5.1 500-m MCDLCHKM (Figure</w:t>
      </w:r>
      <w:r w:rsidR="00E07E20">
        <w:t xml:space="preserve"> 2</w:t>
      </w:r>
      <w:r>
        <w:t xml:space="preserve">). The importance of this product cannot be overstated as the VNP16 algorithm relies heavily on land cover type to identify ecosystem parameters from the BPLUT. The land-cover type 1 from 500-m MCDLCHKM is a 17-class IGBP (International Geosphere-Biosphere </w:t>
      </w:r>
      <w:proofErr w:type="spellStart"/>
      <w:r>
        <w:t>Programme</w:t>
      </w:r>
      <w:proofErr w:type="spellEnd"/>
      <w:r>
        <w:t xml:space="preserve">) land-cover classification map (Running et al. 1994, </w:t>
      </w:r>
      <w:proofErr w:type="spellStart"/>
      <w:r>
        <w:t>Belward</w:t>
      </w:r>
      <w:proofErr w:type="spellEnd"/>
      <w:r>
        <w:t xml:space="preserve"> et al. 1999, </w:t>
      </w:r>
      <w:proofErr w:type="spellStart"/>
      <w:r>
        <w:t>Friedl</w:t>
      </w:r>
      <w:proofErr w:type="spellEnd"/>
      <w:r>
        <w:t xml:space="preserve"> et al. 2010) (Table </w:t>
      </w:r>
      <w:r w:rsidR="00B825B3">
        <w:t>3.</w:t>
      </w:r>
      <w:r w:rsidR="00E07E20">
        <w:t>1</w:t>
      </w:r>
      <w:r>
        <w:t>).</w:t>
      </w:r>
      <w:r w:rsidR="00E07E20">
        <w:t xml:space="preserve"> </w:t>
      </w:r>
    </w:p>
    <w:p w14:paraId="08FB243E" w14:textId="77777777" w:rsidR="00031310" w:rsidRDefault="00031310">
      <w:pPr>
        <w:pStyle w:val="FirstParagraph"/>
      </w:pPr>
    </w:p>
    <w:p w14:paraId="25AA0D95" w14:textId="77777777" w:rsidR="00031310" w:rsidRDefault="00EA4C4E">
      <w:pPr>
        <w:ind w:left="0"/>
      </w:pPr>
      <w:bookmarkStart w:id="41" w:name="fig%2525253ALandCover"/>
      <w:r>
        <w:rPr>
          <w:noProof/>
        </w:rPr>
        <w:lastRenderedPageBreak/>
        <w:drawing>
          <wp:inline distT="0" distB="0" distL="0" distR="0" wp14:anchorId="64F2B6AC" wp14:editId="4E56C24B">
            <wp:extent cx="5394960" cy="3090545"/>
            <wp:effectExtent l="0" t="0" r="0" b="0"/>
            <wp:docPr id="3" name="Image1" descr="Figure 2: C002 500m VIIRS ET used land cover type 1 in 500-m Collection 5.1 MCDLCHKM dataset: Evergreen Needleleaf Forest (ENF), Evergreen Broadleaf Forest (EBF), Deciduous Needleleaf Forest (DNF), Deciduous Broadleaf Forest (DBF), Mixed forests (MF), Closed Shrublands (CShrub), Open Shrublands (OShrub), Woody Savannas (WSavanna), Savannas (Savanna), grassland (Grass), and Croplands (Crop). Note that in this figure, we combined CShrub and OShrub into Shrub, and WSavanna and Savannas into Sava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descr="Figure 2: C002 500m VIIRS ET used land cover type 1 in 500-m Collection 5.1 MCDLCHKM dataset: Evergreen Needleleaf Forest (ENF), Evergreen Broadleaf Forest (EBF), Deciduous Needleleaf Forest (DNF), Deciduous Broadleaf Forest (DBF), Mixed forests (MF), Closed Shrublands (CShrub), Open Shrublands (OShrub), Woody Savannas (WSavanna), Savannas (Savanna), grassland (Grass), and Croplands (Crop). Note that in this figure, we combined CShrub and OShrub into Shrub, and WSavanna and Savannas into Savanna."/>
                    <pic:cNvPicPr>
                      <a:picLocks noChangeAspect="1" noChangeArrowheads="1"/>
                    </pic:cNvPicPr>
                  </pic:nvPicPr>
                  <pic:blipFill>
                    <a:blip r:embed="rId15"/>
                    <a:stretch>
                      <a:fillRect/>
                    </a:stretch>
                  </pic:blipFill>
                  <pic:spPr bwMode="auto">
                    <a:xfrm>
                      <a:off x="0" y="0"/>
                      <a:ext cx="5394960" cy="3090545"/>
                    </a:xfrm>
                    <a:prstGeom prst="rect">
                      <a:avLst/>
                    </a:prstGeom>
                  </pic:spPr>
                </pic:pic>
              </a:graphicData>
            </a:graphic>
          </wp:inline>
        </w:drawing>
      </w:r>
      <w:bookmarkEnd w:id="41"/>
    </w:p>
    <w:p w14:paraId="07D7C34E" w14:textId="3824C4BE" w:rsidR="00031310" w:rsidRDefault="00EA4C4E" w:rsidP="00CF0D36">
      <w:pPr>
        <w:pStyle w:val="ImageCaption"/>
        <w:jc w:val="both"/>
      </w:pPr>
      <w:r>
        <w:t>Figure 2: C2 500m VIIRS ET use</w:t>
      </w:r>
      <w:r w:rsidR="001B23B4">
        <w:t>s the IGBP</w:t>
      </w:r>
      <w:r>
        <w:t xml:space="preserve"> land cover type 1 </w:t>
      </w:r>
      <w:r w:rsidR="001B23B4">
        <w:t xml:space="preserve">classification from the </w:t>
      </w:r>
      <w:r>
        <w:t>500-m Collection 5.1 MCDLCHKM dataset</w:t>
      </w:r>
      <w:r w:rsidR="001B23B4">
        <w:t>, which defines the following major land cover types</w:t>
      </w:r>
      <w:r>
        <w:t>: Evergreen Needleleaf Forest (ENF), Evergreen Broadleaf Forest (EBF), Deciduous Needleleaf Forest (DNF), Deciduous Broadleaf Forest (DBF), Mixed forests (MF), Closed Shrublands (</w:t>
      </w:r>
      <w:proofErr w:type="spellStart"/>
      <w:r>
        <w:t>CShrub</w:t>
      </w:r>
      <w:proofErr w:type="spellEnd"/>
      <w:r>
        <w:t>), Open Shrublands (</w:t>
      </w:r>
      <w:proofErr w:type="spellStart"/>
      <w:r>
        <w:t>OShrub</w:t>
      </w:r>
      <w:proofErr w:type="spellEnd"/>
      <w:r>
        <w:t>), Woody Savannas (</w:t>
      </w:r>
      <w:proofErr w:type="spellStart"/>
      <w:r>
        <w:t>WSavanna</w:t>
      </w:r>
      <w:proofErr w:type="spellEnd"/>
      <w:r>
        <w:t xml:space="preserve">), Savannas (Savanna), grassland (Grass), and Croplands (Crop). Note that in this figure, we combined </w:t>
      </w:r>
      <w:proofErr w:type="spellStart"/>
      <w:r>
        <w:t>CShrub</w:t>
      </w:r>
      <w:proofErr w:type="spellEnd"/>
      <w:r>
        <w:t xml:space="preserve"> and </w:t>
      </w:r>
      <w:proofErr w:type="spellStart"/>
      <w:r>
        <w:t>OShrub</w:t>
      </w:r>
      <w:proofErr w:type="spellEnd"/>
      <w:r>
        <w:t xml:space="preserve"> into </w:t>
      </w:r>
      <w:r w:rsidR="001B23B4">
        <w:t xml:space="preserve">a general </w:t>
      </w:r>
      <w:r>
        <w:t>Shrub</w:t>
      </w:r>
      <w:r w:rsidR="001B23B4">
        <w:t xml:space="preserve"> class</w:t>
      </w:r>
      <w:r>
        <w:t xml:space="preserve">, and </w:t>
      </w:r>
      <w:proofErr w:type="spellStart"/>
      <w:r>
        <w:t>WSavanna</w:t>
      </w:r>
      <w:proofErr w:type="spellEnd"/>
      <w:r>
        <w:t xml:space="preserve"> and Savannas into</w:t>
      </w:r>
      <w:r w:rsidR="001B23B4">
        <w:t xml:space="preserve"> a general</w:t>
      </w:r>
      <w:r>
        <w:t xml:space="preserve"> Savanna</w:t>
      </w:r>
      <w:r w:rsidR="001B23B4">
        <w:t xml:space="preserve"> class</w:t>
      </w:r>
      <w:r>
        <w:t>.</w:t>
      </w:r>
      <w:bookmarkStart w:id="42" w:name="fig%2525253ALandCover1"/>
      <w:bookmarkEnd w:id="42"/>
    </w:p>
    <w:p w14:paraId="7B6C4752" w14:textId="58A9F06D" w:rsidR="00031310" w:rsidRDefault="00EA4C4E" w:rsidP="003D334E">
      <w:pPr>
        <w:pStyle w:val="BodyText"/>
        <w:spacing w:before="120"/>
        <w:ind w:firstLine="432"/>
        <w:jc w:val="both"/>
      </w:pPr>
      <w:r>
        <w:t>Given the global nature and daily time-step of VNP16 processing, a broad classification scheme, which retains the essence of land cover, is necessary. Since Collection 2 VIIRS products are designed at a 500-m grid scale, it can be difficult to obtain accurate land cover in areas with complex vegetation; misclassification can occur (Sexton et al., 2016). However, studies have suggested that the MODIS vegetation maps are accurate to within 65-80%</w:t>
      </w:r>
      <w:r w:rsidR="003D334E">
        <w:t xml:space="preserve"> </w:t>
      </w:r>
      <w:r w:rsidR="003D334E" w:rsidRPr="003D334E">
        <w:t>correctly classified</w:t>
      </w:r>
      <w:r>
        <w:t>, with higher accuracies for pixels that are largely homogeneous, and that they allow for consistent monitoring of global land cover (</w:t>
      </w:r>
      <w:proofErr w:type="spellStart"/>
      <w:r>
        <w:t>Friedl</w:t>
      </w:r>
      <w:proofErr w:type="spellEnd"/>
      <w:r>
        <w:t xml:space="preserve"> et al. 2010).</w:t>
      </w:r>
      <w:r w:rsidR="003D334E">
        <w:t xml:space="preserve">  </w:t>
      </w:r>
    </w:p>
    <w:p w14:paraId="745EE66F" w14:textId="77777777" w:rsidR="003D334E" w:rsidRDefault="003D334E" w:rsidP="00554B0E">
      <w:pPr>
        <w:pStyle w:val="BodyText"/>
        <w:spacing w:before="120"/>
        <w:ind w:firstLine="432"/>
        <w:jc w:val="both"/>
      </w:pPr>
    </w:p>
    <w:p w14:paraId="03F919A4" w14:textId="2A2F1BC3" w:rsidR="00031310" w:rsidRDefault="00EA4C4E">
      <w:pPr>
        <w:pStyle w:val="TableCaption"/>
      </w:pPr>
      <w:r>
        <w:t xml:space="preserve">Table </w:t>
      </w:r>
      <w:r w:rsidR="00B825B3">
        <w:t>4.1</w:t>
      </w:r>
      <w:r>
        <w:t>: The land-cover types used in the VNP16 algorithm</w:t>
      </w:r>
      <w:r w:rsidR="00790BD6">
        <w:t>, as derived from the IGBP Type 1 global land cover classification (</w:t>
      </w:r>
      <w:proofErr w:type="spellStart"/>
      <w:r w:rsidR="00790BD6">
        <w:t>Friedl</w:t>
      </w:r>
      <w:proofErr w:type="spellEnd"/>
      <w:r w:rsidR="00790BD6">
        <w:t xml:space="preserve"> et al. 2010)</w:t>
      </w:r>
      <w:r>
        <w:t>.</w:t>
      </w:r>
    </w:p>
    <w:tbl>
      <w:tblPr>
        <w:tblW w:w="5760" w:type="dxa"/>
        <w:tblInd w:w="29" w:type="dxa"/>
        <w:tblLayout w:type="fixed"/>
        <w:tblCellMar>
          <w:top w:w="29" w:type="dxa"/>
          <w:left w:w="29" w:type="dxa"/>
          <w:bottom w:w="29" w:type="dxa"/>
          <w:right w:w="29" w:type="dxa"/>
        </w:tblCellMar>
        <w:tblLook w:val="07E0" w:firstRow="1" w:lastRow="1" w:firstColumn="1" w:lastColumn="1" w:noHBand="1" w:noVBand="1"/>
      </w:tblPr>
      <w:tblGrid>
        <w:gridCol w:w="1530"/>
        <w:gridCol w:w="4230"/>
      </w:tblGrid>
      <w:tr w:rsidR="00031310" w14:paraId="728CEB05" w14:textId="77777777">
        <w:tc>
          <w:tcPr>
            <w:tcW w:w="1530" w:type="dxa"/>
            <w:tcBorders>
              <w:bottom w:val="single" w:sz="6" w:space="0" w:color="000000"/>
            </w:tcBorders>
            <w:vAlign w:val="bottom"/>
          </w:tcPr>
          <w:p w14:paraId="06595E01" w14:textId="77777777" w:rsidR="00031310" w:rsidRDefault="00EA4C4E">
            <w:pPr>
              <w:pStyle w:val="Compact"/>
              <w:widowControl w:val="0"/>
              <w:ind w:left="360" w:hanging="360"/>
            </w:pPr>
            <w:r>
              <w:rPr>
                <w:b/>
              </w:rPr>
              <w:t>Class Value</w:t>
            </w:r>
          </w:p>
        </w:tc>
        <w:tc>
          <w:tcPr>
            <w:tcW w:w="4229" w:type="dxa"/>
            <w:tcBorders>
              <w:bottom w:val="single" w:sz="6" w:space="0" w:color="000000"/>
            </w:tcBorders>
            <w:vAlign w:val="bottom"/>
          </w:tcPr>
          <w:p w14:paraId="2D781366" w14:textId="77777777" w:rsidR="00031310" w:rsidRDefault="00EA4C4E">
            <w:pPr>
              <w:pStyle w:val="Compact"/>
              <w:widowControl w:val="0"/>
              <w:ind w:left="360" w:hanging="360"/>
            </w:pPr>
            <w:r>
              <w:rPr>
                <w:b/>
              </w:rPr>
              <w:t>Class Description</w:t>
            </w:r>
          </w:p>
        </w:tc>
      </w:tr>
      <w:tr w:rsidR="00031310" w14:paraId="579D0146" w14:textId="77777777">
        <w:tc>
          <w:tcPr>
            <w:tcW w:w="1530" w:type="dxa"/>
          </w:tcPr>
          <w:p w14:paraId="23211D26" w14:textId="77777777" w:rsidR="00031310" w:rsidRDefault="00EA4C4E">
            <w:pPr>
              <w:pStyle w:val="Compact"/>
              <w:widowControl w:val="0"/>
              <w:ind w:left="360" w:hanging="360"/>
            </w:pPr>
            <w:r>
              <w:t>0</w:t>
            </w:r>
          </w:p>
        </w:tc>
        <w:tc>
          <w:tcPr>
            <w:tcW w:w="4229" w:type="dxa"/>
          </w:tcPr>
          <w:p w14:paraId="4867F7DF" w14:textId="77777777" w:rsidR="00031310" w:rsidRDefault="00EA4C4E">
            <w:pPr>
              <w:pStyle w:val="Compact"/>
              <w:widowControl w:val="0"/>
              <w:ind w:left="360" w:hanging="360"/>
            </w:pPr>
            <w:r>
              <w:t>Water</w:t>
            </w:r>
          </w:p>
        </w:tc>
      </w:tr>
      <w:tr w:rsidR="00031310" w14:paraId="0B787EB7" w14:textId="77777777">
        <w:tc>
          <w:tcPr>
            <w:tcW w:w="1530" w:type="dxa"/>
          </w:tcPr>
          <w:p w14:paraId="3D46BD69" w14:textId="77777777" w:rsidR="00031310" w:rsidRDefault="00EA4C4E">
            <w:pPr>
              <w:pStyle w:val="Compact"/>
              <w:widowControl w:val="0"/>
              <w:ind w:left="360" w:hanging="360"/>
            </w:pPr>
            <w:r>
              <w:t>1</w:t>
            </w:r>
          </w:p>
        </w:tc>
        <w:tc>
          <w:tcPr>
            <w:tcW w:w="4229" w:type="dxa"/>
          </w:tcPr>
          <w:p w14:paraId="5DDD3CF6" w14:textId="77777777" w:rsidR="00031310" w:rsidRDefault="00EA4C4E">
            <w:pPr>
              <w:pStyle w:val="Compact"/>
              <w:widowControl w:val="0"/>
              <w:ind w:left="360" w:hanging="360"/>
            </w:pPr>
            <w:r>
              <w:t>Evergreen Needleleaf Forest</w:t>
            </w:r>
          </w:p>
        </w:tc>
      </w:tr>
      <w:tr w:rsidR="00031310" w14:paraId="10D56779" w14:textId="77777777">
        <w:tc>
          <w:tcPr>
            <w:tcW w:w="1530" w:type="dxa"/>
          </w:tcPr>
          <w:p w14:paraId="28A1E1B0" w14:textId="77777777" w:rsidR="00031310" w:rsidRDefault="00EA4C4E">
            <w:pPr>
              <w:pStyle w:val="Compact"/>
              <w:widowControl w:val="0"/>
              <w:ind w:left="360" w:hanging="360"/>
            </w:pPr>
            <w:r>
              <w:t>2</w:t>
            </w:r>
          </w:p>
        </w:tc>
        <w:tc>
          <w:tcPr>
            <w:tcW w:w="4229" w:type="dxa"/>
          </w:tcPr>
          <w:p w14:paraId="655BE10C" w14:textId="77777777" w:rsidR="00031310" w:rsidRDefault="00EA4C4E">
            <w:pPr>
              <w:pStyle w:val="Compact"/>
              <w:widowControl w:val="0"/>
              <w:ind w:left="360" w:hanging="360"/>
            </w:pPr>
            <w:r>
              <w:t>Evergreen Broadleaf Forest</w:t>
            </w:r>
          </w:p>
        </w:tc>
      </w:tr>
      <w:tr w:rsidR="00031310" w14:paraId="42DEDF27" w14:textId="77777777">
        <w:tc>
          <w:tcPr>
            <w:tcW w:w="1530" w:type="dxa"/>
          </w:tcPr>
          <w:p w14:paraId="65EF45D3" w14:textId="77777777" w:rsidR="00031310" w:rsidRDefault="00EA4C4E">
            <w:pPr>
              <w:pStyle w:val="Compact"/>
              <w:widowControl w:val="0"/>
              <w:ind w:left="360" w:hanging="360"/>
            </w:pPr>
            <w:r>
              <w:t>3</w:t>
            </w:r>
          </w:p>
        </w:tc>
        <w:tc>
          <w:tcPr>
            <w:tcW w:w="4229" w:type="dxa"/>
          </w:tcPr>
          <w:p w14:paraId="2756AAB0" w14:textId="77777777" w:rsidR="00031310" w:rsidRDefault="00EA4C4E">
            <w:pPr>
              <w:pStyle w:val="Compact"/>
              <w:widowControl w:val="0"/>
              <w:ind w:left="360" w:hanging="360"/>
            </w:pPr>
            <w:r>
              <w:t>Deciduous Needleleaf Forest</w:t>
            </w:r>
          </w:p>
        </w:tc>
      </w:tr>
      <w:tr w:rsidR="00031310" w14:paraId="4660F11B" w14:textId="77777777">
        <w:tc>
          <w:tcPr>
            <w:tcW w:w="1530" w:type="dxa"/>
          </w:tcPr>
          <w:p w14:paraId="7B23C45D" w14:textId="77777777" w:rsidR="00031310" w:rsidRDefault="00EA4C4E">
            <w:pPr>
              <w:pStyle w:val="Compact"/>
              <w:widowControl w:val="0"/>
              <w:ind w:left="360" w:hanging="360"/>
            </w:pPr>
            <w:r>
              <w:t>4</w:t>
            </w:r>
          </w:p>
        </w:tc>
        <w:tc>
          <w:tcPr>
            <w:tcW w:w="4229" w:type="dxa"/>
          </w:tcPr>
          <w:p w14:paraId="263124E3" w14:textId="77777777" w:rsidR="00031310" w:rsidRDefault="00EA4C4E">
            <w:pPr>
              <w:pStyle w:val="Compact"/>
              <w:widowControl w:val="0"/>
              <w:ind w:left="360" w:hanging="360"/>
            </w:pPr>
            <w:r>
              <w:t>Deciduous Broadleaf Forest</w:t>
            </w:r>
          </w:p>
        </w:tc>
      </w:tr>
      <w:tr w:rsidR="00031310" w14:paraId="1CE3E3E2" w14:textId="77777777">
        <w:tc>
          <w:tcPr>
            <w:tcW w:w="1530" w:type="dxa"/>
          </w:tcPr>
          <w:p w14:paraId="100E6E15" w14:textId="77777777" w:rsidR="00031310" w:rsidRDefault="00EA4C4E">
            <w:pPr>
              <w:pStyle w:val="Compact"/>
              <w:widowControl w:val="0"/>
              <w:ind w:left="360" w:hanging="360"/>
            </w:pPr>
            <w:r>
              <w:t>5</w:t>
            </w:r>
          </w:p>
        </w:tc>
        <w:tc>
          <w:tcPr>
            <w:tcW w:w="4229" w:type="dxa"/>
          </w:tcPr>
          <w:p w14:paraId="14A1C3DE" w14:textId="77777777" w:rsidR="00031310" w:rsidRDefault="00EA4C4E">
            <w:pPr>
              <w:pStyle w:val="Compact"/>
              <w:widowControl w:val="0"/>
              <w:ind w:left="360" w:hanging="360"/>
            </w:pPr>
            <w:r>
              <w:t>Mixed Forest</w:t>
            </w:r>
          </w:p>
        </w:tc>
      </w:tr>
      <w:tr w:rsidR="00031310" w14:paraId="29640F8B" w14:textId="77777777">
        <w:tc>
          <w:tcPr>
            <w:tcW w:w="1530" w:type="dxa"/>
          </w:tcPr>
          <w:p w14:paraId="6DAA0C79" w14:textId="77777777" w:rsidR="00031310" w:rsidRDefault="00EA4C4E">
            <w:pPr>
              <w:pStyle w:val="Compact"/>
              <w:widowControl w:val="0"/>
              <w:ind w:left="360" w:hanging="360"/>
            </w:pPr>
            <w:r>
              <w:lastRenderedPageBreak/>
              <w:t>6</w:t>
            </w:r>
          </w:p>
        </w:tc>
        <w:tc>
          <w:tcPr>
            <w:tcW w:w="4229" w:type="dxa"/>
          </w:tcPr>
          <w:p w14:paraId="2FAD60B7" w14:textId="77777777" w:rsidR="00031310" w:rsidRDefault="00EA4C4E">
            <w:pPr>
              <w:pStyle w:val="Compact"/>
              <w:widowControl w:val="0"/>
              <w:ind w:left="360" w:hanging="360"/>
            </w:pPr>
            <w:r>
              <w:t>Closed Shrubland</w:t>
            </w:r>
          </w:p>
        </w:tc>
      </w:tr>
      <w:tr w:rsidR="00031310" w14:paraId="6608CDA2" w14:textId="77777777">
        <w:tc>
          <w:tcPr>
            <w:tcW w:w="1530" w:type="dxa"/>
          </w:tcPr>
          <w:p w14:paraId="7EB510C6" w14:textId="77777777" w:rsidR="00031310" w:rsidRDefault="00EA4C4E">
            <w:pPr>
              <w:pStyle w:val="Compact"/>
              <w:widowControl w:val="0"/>
              <w:ind w:left="360" w:hanging="360"/>
            </w:pPr>
            <w:r>
              <w:t>7</w:t>
            </w:r>
          </w:p>
        </w:tc>
        <w:tc>
          <w:tcPr>
            <w:tcW w:w="4229" w:type="dxa"/>
          </w:tcPr>
          <w:p w14:paraId="03516E80" w14:textId="77777777" w:rsidR="00031310" w:rsidRDefault="00EA4C4E">
            <w:pPr>
              <w:pStyle w:val="Compact"/>
              <w:widowControl w:val="0"/>
              <w:ind w:left="360" w:hanging="360"/>
            </w:pPr>
            <w:r>
              <w:t>Open Shrubland</w:t>
            </w:r>
          </w:p>
        </w:tc>
      </w:tr>
      <w:tr w:rsidR="00031310" w14:paraId="3471FFF3" w14:textId="77777777">
        <w:tc>
          <w:tcPr>
            <w:tcW w:w="1530" w:type="dxa"/>
          </w:tcPr>
          <w:p w14:paraId="7AC5B557" w14:textId="77777777" w:rsidR="00031310" w:rsidRDefault="00EA4C4E">
            <w:pPr>
              <w:pStyle w:val="Compact"/>
              <w:widowControl w:val="0"/>
              <w:ind w:left="360" w:hanging="360"/>
            </w:pPr>
            <w:r>
              <w:t>8</w:t>
            </w:r>
          </w:p>
        </w:tc>
        <w:tc>
          <w:tcPr>
            <w:tcW w:w="4229" w:type="dxa"/>
          </w:tcPr>
          <w:p w14:paraId="0DCAB442" w14:textId="77777777" w:rsidR="00031310" w:rsidRDefault="00EA4C4E">
            <w:pPr>
              <w:pStyle w:val="Compact"/>
              <w:widowControl w:val="0"/>
              <w:ind w:left="360" w:hanging="360"/>
            </w:pPr>
            <w:r>
              <w:t>Woody Savanna</w:t>
            </w:r>
          </w:p>
        </w:tc>
      </w:tr>
      <w:tr w:rsidR="00031310" w14:paraId="5F589108" w14:textId="77777777">
        <w:tc>
          <w:tcPr>
            <w:tcW w:w="1530" w:type="dxa"/>
          </w:tcPr>
          <w:p w14:paraId="1474DB0E" w14:textId="77777777" w:rsidR="00031310" w:rsidRDefault="00EA4C4E">
            <w:pPr>
              <w:pStyle w:val="Compact"/>
              <w:widowControl w:val="0"/>
              <w:ind w:left="360" w:hanging="360"/>
            </w:pPr>
            <w:r>
              <w:t>9</w:t>
            </w:r>
          </w:p>
        </w:tc>
        <w:tc>
          <w:tcPr>
            <w:tcW w:w="4229" w:type="dxa"/>
          </w:tcPr>
          <w:p w14:paraId="62047064" w14:textId="77777777" w:rsidR="00031310" w:rsidRDefault="00EA4C4E">
            <w:pPr>
              <w:pStyle w:val="Compact"/>
              <w:widowControl w:val="0"/>
              <w:ind w:left="360" w:hanging="360"/>
            </w:pPr>
            <w:r>
              <w:t>Savanna</w:t>
            </w:r>
          </w:p>
        </w:tc>
      </w:tr>
      <w:tr w:rsidR="00031310" w14:paraId="5363DFD7" w14:textId="77777777">
        <w:tc>
          <w:tcPr>
            <w:tcW w:w="1530" w:type="dxa"/>
          </w:tcPr>
          <w:p w14:paraId="63C0BE8A" w14:textId="77777777" w:rsidR="00031310" w:rsidRDefault="00EA4C4E">
            <w:pPr>
              <w:pStyle w:val="Compact"/>
              <w:widowControl w:val="0"/>
              <w:ind w:left="360" w:hanging="360"/>
            </w:pPr>
            <w:r>
              <w:t>10</w:t>
            </w:r>
          </w:p>
        </w:tc>
        <w:tc>
          <w:tcPr>
            <w:tcW w:w="4229" w:type="dxa"/>
          </w:tcPr>
          <w:p w14:paraId="745A9DC7" w14:textId="77777777" w:rsidR="00031310" w:rsidRDefault="00EA4C4E">
            <w:pPr>
              <w:pStyle w:val="Compact"/>
              <w:widowControl w:val="0"/>
              <w:ind w:left="360" w:hanging="360"/>
            </w:pPr>
            <w:r>
              <w:t>Grassland</w:t>
            </w:r>
          </w:p>
        </w:tc>
      </w:tr>
      <w:tr w:rsidR="00031310" w14:paraId="05D952BC" w14:textId="77777777">
        <w:tc>
          <w:tcPr>
            <w:tcW w:w="1530" w:type="dxa"/>
          </w:tcPr>
          <w:p w14:paraId="398F2162" w14:textId="77777777" w:rsidR="00031310" w:rsidRDefault="00EA4C4E">
            <w:pPr>
              <w:pStyle w:val="Compact"/>
              <w:widowControl w:val="0"/>
              <w:ind w:left="360" w:hanging="360"/>
            </w:pPr>
            <w:r>
              <w:t>12</w:t>
            </w:r>
          </w:p>
        </w:tc>
        <w:tc>
          <w:tcPr>
            <w:tcW w:w="4229" w:type="dxa"/>
          </w:tcPr>
          <w:p w14:paraId="4300841E" w14:textId="77777777" w:rsidR="00031310" w:rsidRDefault="00EA4C4E">
            <w:pPr>
              <w:pStyle w:val="Compact"/>
              <w:widowControl w:val="0"/>
              <w:ind w:left="360" w:hanging="360"/>
            </w:pPr>
            <w:r>
              <w:t>Cropland</w:t>
            </w:r>
          </w:p>
        </w:tc>
      </w:tr>
      <w:tr w:rsidR="00031310" w14:paraId="5AFF7396" w14:textId="77777777">
        <w:tc>
          <w:tcPr>
            <w:tcW w:w="1530" w:type="dxa"/>
          </w:tcPr>
          <w:p w14:paraId="7D47B5FC" w14:textId="77777777" w:rsidR="00031310" w:rsidRDefault="00EA4C4E">
            <w:pPr>
              <w:pStyle w:val="Compact"/>
              <w:widowControl w:val="0"/>
              <w:ind w:left="360" w:hanging="360"/>
            </w:pPr>
            <w:r>
              <w:t>13</w:t>
            </w:r>
          </w:p>
        </w:tc>
        <w:tc>
          <w:tcPr>
            <w:tcW w:w="4229" w:type="dxa"/>
          </w:tcPr>
          <w:p w14:paraId="431D6D86" w14:textId="77777777" w:rsidR="00031310" w:rsidRDefault="00EA4C4E">
            <w:pPr>
              <w:pStyle w:val="Compact"/>
              <w:widowControl w:val="0"/>
              <w:ind w:left="360" w:hanging="360"/>
            </w:pPr>
            <w:r>
              <w:t>Urban or Built-Up</w:t>
            </w:r>
          </w:p>
        </w:tc>
      </w:tr>
      <w:tr w:rsidR="00031310" w14:paraId="405E7343" w14:textId="77777777">
        <w:tc>
          <w:tcPr>
            <w:tcW w:w="1530" w:type="dxa"/>
          </w:tcPr>
          <w:p w14:paraId="15022D64" w14:textId="77777777" w:rsidR="00031310" w:rsidRDefault="00EA4C4E">
            <w:pPr>
              <w:pStyle w:val="Compact"/>
              <w:widowControl w:val="0"/>
              <w:ind w:left="360" w:hanging="360"/>
            </w:pPr>
            <w:r>
              <w:t>16</w:t>
            </w:r>
          </w:p>
        </w:tc>
        <w:tc>
          <w:tcPr>
            <w:tcW w:w="4229" w:type="dxa"/>
          </w:tcPr>
          <w:p w14:paraId="0F941E63" w14:textId="77777777" w:rsidR="00031310" w:rsidRDefault="00EA4C4E">
            <w:pPr>
              <w:pStyle w:val="Compact"/>
              <w:widowControl w:val="0"/>
              <w:ind w:left="360" w:hanging="360"/>
            </w:pPr>
            <w:r>
              <w:t>Barren or Sparsely Vegetated</w:t>
            </w:r>
          </w:p>
        </w:tc>
      </w:tr>
      <w:tr w:rsidR="00031310" w14:paraId="2D6CAB27" w14:textId="77777777">
        <w:tc>
          <w:tcPr>
            <w:tcW w:w="1530" w:type="dxa"/>
          </w:tcPr>
          <w:p w14:paraId="0278AD22" w14:textId="77777777" w:rsidR="00031310" w:rsidRDefault="00EA4C4E">
            <w:pPr>
              <w:pStyle w:val="Compact"/>
              <w:widowControl w:val="0"/>
              <w:ind w:left="360" w:hanging="360"/>
            </w:pPr>
            <w:r>
              <w:t>254</w:t>
            </w:r>
          </w:p>
        </w:tc>
        <w:tc>
          <w:tcPr>
            <w:tcW w:w="4229" w:type="dxa"/>
          </w:tcPr>
          <w:p w14:paraId="6A969205" w14:textId="77777777" w:rsidR="00031310" w:rsidRDefault="00EA4C4E">
            <w:pPr>
              <w:pStyle w:val="Compact"/>
              <w:widowControl w:val="0"/>
              <w:ind w:left="360" w:hanging="360"/>
            </w:pPr>
            <w:r>
              <w:t>Unclassified</w:t>
            </w:r>
          </w:p>
        </w:tc>
      </w:tr>
      <w:tr w:rsidR="00031310" w14:paraId="64DFFE97" w14:textId="77777777">
        <w:tc>
          <w:tcPr>
            <w:tcW w:w="1530" w:type="dxa"/>
          </w:tcPr>
          <w:p w14:paraId="3CEEBFC6" w14:textId="77777777" w:rsidR="00031310" w:rsidRDefault="00EA4C4E">
            <w:pPr>
              <w:pStyle w:val="Compact"/>
              <w:widowControl w:val="0"/>
              <w:ind w:left="360" w:hanging="360"/>
            </w:pPr>
            <w:r>
              <w:t>255</w:t>
            </w:r>
          </w:p>
        </w:tc>
        <w:tc>
          <w:tcPr>
            <w:tcW w:w="4229" w:type="dxa"/>
          </w:tcPr>
          <w:p w14:paraId="2E3FE925" w14:textId="77777777" w:rsidR="00031310" w:rsidRDefault="00EA4C4E">
            <w:pPr>
              <w:pStyle w:val="Compact"/>
              <w:widowControl w:val="0"/>
              <w:ind w:left="360" w:hanging="360"/>
            </w:pPr>
            <w:r>
              <w:t>Missing Data</w:t>
            </w:r>
            <w:bookmarkStart w:id="43" w:name="tbl%2525253ALandCover"/>
            <w:bookmarkEnd w:id="43"/>
          </w:p>
        </w:tc>
      </w:tr>
    </w:tbl>
    <w:p w14:paraId="0036D202" w14:textId="68E54D46" w:rsidR="00031310" w:rsidRDefault="00EA4C4E">
      <w:pPr>
        <w:pStyle w:val="Heading2"/>
      </w:pPr>
      <w:bookmarkStart w:id="44" w:name="_Toc181041690"/>
      <w:r>
        <w:t xml:space="preserve">4.2 </w:t>
      </w:r>
      <w:bookmarkStart w:id="45" w:name="assumption-of-constant-biome-properties"/>
      <w:r>
        <w:t>Assumption of Constant Biome Properties</w:t>
      </w:r>
      <w:bookmarkEnd w:id="44"/>
      <w:bookmarkEnd w:id="45"/>
    </w:p>
    <w:p w14:paraId="52234076" w14:textId="0DB12BE1" w:rsidR="00031310" w:rsidRDefault="00EA4C4E" w:rsidP="00CF0D36">
      <w:pPr>
        <w:pStyle w:val="FirstParagraph"/>
        <w:jc w:val="both"/>
      </w:pPr>
      <w:r>
        <w:t xml:space="preserve">Arguably, the most significant assumption made in the VNP16 logic is that biome-specific physiological parameters do not vary across space or time. These parameters are </w:t>
      </w:r>
      <w:r w:rsidR="006F3B7B">
        <w:t xml:space="preserve">prescribed for the different land cover types </w:t>
      </w:r>
      <w:r>
        <w:t>in the</w:t>
      </w:r>
      <w:r w:rsidR="006F3B7B">
        <w:t xml:space="preserve"> ancillary Biome Properties Look-up Table</w:t>
      </w:r>
      <w:r>
        <w:t xml:space="preserve"> </w:t>
      </w:r>
      <w:r w:rsidR="006F3B7B">
        <w:t>(</w:t>
      </w:r>
      <w:r>
        <w:t>BPLUT</w:t>
      </w:r>
      <w:r w:rsidR="006F3B7B">
        <w:t>)</w:t>
      </w:r>
      <w:r>
        <w:t xml:space="preserve"> </w:t>
      </w:r>
      <w:r w:rsidR="006F3B7B">
        <w:t xml:space="preserve">used for </w:t>
      </w:r>
      <w:r>
        <w:t xml:space="preserve">VNP16 </w:t>
      </w:r>
      <w:r w:rsidR="006F3B7B">
        <w:t>processing</w:t>
      </w:r>
      <w:r>
        <w:t xml:space="preserve">. The BPLUT constitutes the physiological framework for controlling simulated ET. These biome-specific properties are not differentiated </w:t>
      </w:r>
      <w:r w:rsidR="006F3B7B">
        <w:t>within</w:t>
      </w:r>
      <w:r>
        <w:t xml:space="preserve"> a given biome, nor are they varied at any time during the year. In other words, a semi-desert grassland in Mongolia is treated the same as a tallgrass prairie in the Midwestern United States. Likewise, a sparsely vegetated boreal evergreen needleleaf forest in Canada is functionally equivalent to its coastal temperate evergreen needleleaf forest counterpart.</w:t>
      </w:r>
      <w:r w:rsidR="006F3B7B">
        <w:t xml:space="preserve"> Spatial and temporal variation in ET within each land cover class is instead driven by associated heterogeneity in daily surface meteorology, </w:t>
      </w:r>
      <w:r w:rsidR="00D6284A">
        <w:t xml:space="preserve">remotely sensed </w:t>
      </w:r>
      <w:r w:rsidR="006F3B7B">
        <w:t xml:space="preserve">vegetation canopy and soil conditions. </w:t>
      </w:r>
      <w:r w:rsidR="00565E69">
        <w:t>Table 4.2 is the newly calibrated BPLUT for the future Collection 7 MODIS ET/PET and current Collection 2 VIIRS ET/PET data products.  The details on the Cal/Val of the BPLUT will be available in Endsley et al (2024, in preparation).</w:t>
      </w:r>
    </w:p>
    <w:p w14:paraId="489150DF" w14:textId="64E35648" w:rsidR="005A2298" w:rsidRDefault="005A2298" w:rsidP="00CF0D36">
      <w:pPr>
        <w:pStyle w:val="FirstParagraph"/>
        <w:jc w:val="both"/>
      </w:pPr>
    </w:p>
    <w:p w14:paraId="4185304F" w14:textId="77777777" w:rsidR="00906C7B" w:rsidRDefault="00906C7B" w:rsidP="00CF0D36">
      <w:pPr>
        <w:pStyle w:val="FirstParagraph"/>
        <w:jc w:val="both"/>
      </w:pPr>
    </w:p>
    <w:p w14:paraId="067CEE20" w14:textId="77777777" w:rsidR="00906C7B" w:rsidRDefault="00906C7B" w:rsidP="00CF0D36">
      <w:pPr>
        <w:pStyle w:val="FirstParagraph"/>
        <w:jc w:val="both"/>
      </w:pPr>
    </w:p>
    <w:p w14:paraId="7206B61A" w14:textId="77777777" w:rsidR="00906C7B" w:rsidRDefault="00906C7B" w:rsidP="00CF0D36">
      <w:pPr>
        <w:pStyle w:val="FirstParagraph"/>
        <w:jc w:val="both"/>
      </w:pPr>
    </w:p>
    <w:p w14:paraId="3665D15D" w14:textId="77777777" w:rsidR="00906C7B" w:rsidRDefault="00906C7B" w:rsidP="00CF0D36">
      <w:pPr>
        <w:pStyle w:val="FirstParagraph"/>
        <w:jc w:val="both"/>
      </w:pPr>
    </w:p>
    <w:p w14:paraId="3E5E4503" w14:textId="77777777" w:rsidR="00906C7B" w:rsidRDefault="00906C7B" w:rsidP="00CF0D36">
      <w:pPr>
        <w:pStyle w:val="FirstParagraph"/>
        <w:jc w:val="both"/>
      </w:pPr>
    </w:p>
    <w:p w14:paraId="74594418" w14:textId="77777777" w:rsidR="00906C7B" w:rsidRDefault="00906C7B" w:rsidP="00CF0D36">
      <w:pPr>
        <w:pStyle w:val="FirstParagraph"/>
        <w:jc w:val="both"/>
      </w:pPr>
    </w:p>
    <w:p w14:paraId="64CF82F2" w14:textId="77777777" w:rsidR="00906C7B" w:rsidRDefault="00906C7B" w:rsidP="00CF0D36">
      <w:pPr>
        <w:pStyle w:val="FirstParagraph"/>
        <w:jc w:val="both"/>
      </w:pPr>
    </w:p>
    <w:p w14:paraId="1EAC337C" w14:textId="77777777" w:rsidR="00906C7B" w:rsidRDefault="00906C7B" w:rsidP="00CF0D36">
      <w:pPr>
        <w:pStyle w:val="FirstParagraph"/>
        <w:jc w:val="both"/>
      </w:pPr>
    </w:p>
    <w:p w14:paraId="616492AE" w14:textId="77777777" w:rsidR="00906C7B" w:rsidRDefault="00906C7B" w:rsidP="00CF0D36">
      <w:pPr>
        <w:pStyle w:val="FirstParagraph"/>
        <w:jc w:val="both"/>
      </w:pPr>
    </w:p>
    <w:p w14:paraId="6A20A5D8" w14:textId="77777777" w:rsidR="00906C7B" w:rsidRDefault="00906C7B" w:rsidP="00CF0D36">
      <w:pPr>
        <w:pStyle w:val="FirstParagraph"/>
        <w:jc w:val="both"/>
      </w:pPr>
    </w:p>
    <w:p w14:paraId="3A59A116" w14:textId="77777777" w:rsidR="00906C7B" w:rsidRDefault="00906C7B" w:rsidP="00CF0D36">
      <w:pPr>
        <w:pStyle w:val="FirstParagraph"/>
        <w:jc w:val="both"/>
      </w:pPr>
    </w:p>
    <w:p w14:paraId="6F8590DE" w14:textId="77777777" w:rsidR="00906C7B" w:rsidRDefault="00906C7B" w:rsidP="00CF0D36">
      <w:pPr>
        <w:pStyle w:val="FirstParagraph"/>
        <w:jc w:val="both"/>
      </w:pPr>
    </w:p>
    <w:p w14:paraId="728D5499" w14:textId="77777777" w:rsidR="00906C7B" w:rsidRDefault="00906C7B" w:rsidP="00CF0D36">
      <w:pPr>
        <w:pStyle w:val="FirstParagraph"/>
        <w:jc w:val="both"/>
      </w:pPr>
    </w:p>
    <w:p w14:paraId="25C24059" w14:textId="77777777" w:rsidR="0027788A" w:rsidRDefault="0027788A" w:rsidP="00CF0D36">
      <w:pPr>
        <w:pStyle w:val="FirstParagraph"/>
        <w:jc w:val="both"/>
        <w:sectPr w:rsidR="0027788A" w:rsidSect="00450274">
          <w:pgSz w:w="12240" w:h="15840"/>
          <w:pgMar w:top="1440" w:right="1440" w:bottom="1440" w:left="1440" w:header="0" w:footer="0" w:gutter="0"/>
          <w:pgNumType w:start="1"/>
          <w:cols w:space="720"/>
          <w:formProt w:val="0"/>
          <w:docGrid w:linePitch="240"/>
        </w:sectPr>
      </w:pPr>
    </w:p>
    <w:p w14:paraId="3D811EE0" w14:textId="77777777" w:rsidR="00906C7B" w:rsidRDefault="00906C7B" w:rsidP="00CF0D36">
      <w:pPr>
        <w:pStyle w:val="FirstParagraph"/>
        <w:jc w:val="both"/>
      </w:pPr>
    </w:p>
    <w:p w14:paraId="04D47B7D" w14:textId="266810C2" w:rsidR="0027788A" w:rsidRDefault="0027788A" w:rsidP="0027788A">
      <w:pPr>
        <w:ind w:left="0"/>
        <w:jc w:val="both"/>
        <w:rPr>
          <w:i/>
        </w:rPr>
      </w:pPr>
      <w:r>
        <w:rPr>
          <w:b/>
          <w:i/>
        </w:rPr>
        <w:t xml:space="preserve">Table </w:t>
      </w:r>
      <w:r w:rsidR="00565E69">
        <w:rPr>
          <w:b/>
          <w:i/>
        </w:rPr>
        <w:t>4</w:t>
      </w:r>
      <w:r>
        <w:rPr>
          <w:b/>
          <w:i/>
        </w:rPr>
        <w:t>.2.</w:t>
      </w:r>
      <w:r>
        <w:rPr>
          <w:i/>
        </w:rPr>
        <w:t xml:space="preserve">  Biome-Property-Look-Up-Table (BPLUT) for VIIRS C2 </w:t>
      </w:r>
      <w:r w:rsidR="00104116">
        <w:rPr>
          <w:i/>
        </w:rPr>
        <w:t>ET/PET/LE/PLE</w:t>
      </w:r>
      <w:r>
        <w:rPr>
          <w:i/>
        </w:rPr>
        <w:t xml:space="preserve"> algorithm with GMAO/NASA data and the Collection 2 VIIRS FPAR/LAI as inputs. The full names for the IGBP land cover classification system in </w:t>
      </w:r>
      <w:r>
        <w:rPr>
          <w:bCs/>
          <w:i/>
        </w:rPr>
        <w:t>MCDLCHKM</w:t>
      </w:r>
      <w:r>
        <w:rPr>
          <w:i/>
        </w:rPr>
        <w:t xml:space="preserve"> dataset (fieldname: Land_Cover_Type_1) are, Evergreen Needleleaf Forest (ENF), Evergreen Broadleaf Forest (EBF), Deciduous Needleleaf Forest (DNF), Deciduous Broadleaf Forest (DBF), Mixed forests (MF), Closed Shrublands (</w:t>
      </w:r>
      <w:proofErr w:type="spellStart"/>
      <w:r>
        <w:rPr>
          <w:i/>
        </w:rPr>
        <w:t>CShrub</w:t>
      </w:r>
      <w:proofErr w:type="spellEnd"/>
      <w:r>
        <w:rPr>
          <w:i/>
        </w:rPr>
        <w:t>), Open Shrublands (</w:t>
      </w:r>
      <w:proofErr w:type="spellStart"/>
      <w:r>
        <w:rPr>
          <w:i/>
        </w:rPr>
        <w:t>OShrub</w:t>
      </w:r>
      <w:proofErr w:type="spellEnd"/>
      <w:r>
        <w:rPr>
          <w:i/>
        </w:rPr>
        <w:t>), Woody Savannas (</w:t>
      </w:r>
      <w:proofErr w:type="spellStart"/>
      <w:r>
        <w:rPr>
          <w:i/>
        </w:rPr>
        <w:t>WSavanna</w:t>
      </w:r>
      <w:proofErr w:type="spellEnd"/>
      <w:r>
        <w:rPr>
          <w:i/>
        </w:rPr>
        <w:t>), Savannas (Savanna), Grassland (Grass), and Croplands (Crop). Note this BPLUT for</w:t>
      </w:r>
      <w:r w:rsidRPr="00033BFB">
        <w:rPr>
          <w:i/>
        </w:rPr>
        <w:t xml:space="preserve"> </w:t>
      </w:r>
      <w:r>
        <w:rPr>
          <w:i/>
        </w:rPr>
        <w:t xml:space="preserve">C2 VIIRS </w:t>
      </w:r>
      <w:r w:rsidR="00104116">
        <w:rPr>
          <w:i/>
        </w:rPr>
        <w:t xml:space="preserve">ET/PET/LE/PLE </w:t>
      </w:r>
      <w:r>
        <w:rPr>
          <w:i/>
        </w:rPr>
        <w:t>is different from the current C6.1 MODIS one as it is an adjusted BPLUT from a recalibrated MODIS BPLUT (Endsley et al., 202</w:t>
      </w:r>
      <w:r w:rsidR="00104116">
        <w:rPr>
          <w:i/>
        </w:rPr>
        <w:t>4, in preparation</w:t>
      </w:r>
      <w:r>
        <w:rPr>
          <w:i/>
        </w:rPr>
        <w:t>).</w:t>
      </w:r>
    </w:p>
    <w:p w14:paraId="3BE4BCD6" w14:textId="77777777" w:rsidR="002815AA" w:rsidRDefault="002815AA" w:rsidP="0027788A">
      <w:pPr>
        <w:ind w:left="0"/>
        <w:jc w:val="both"/>
        <w:rPr>
          <w:i/>
        </w:rPr>
      </w:pPr>
    </w:p>
    <w:tbl>
      <w:tblPr>
        <w:tblStyle w:val="TableGrid"/>
        <w:tblW w:w="0" w:type="auto"/>
        <w:tblLook w:val="04A0" w:firstRow="1" w:lastRow="0" w:firstColumn="1" w:lastColumn="0" w:noHBand="0" w:noVBand="1"/>
      </w:tblPr>
      <w:tblGrid>
        <w:gridCol w:w="1794"/>
        <w:gridCol w:w="1166"/>
        <w:gridCol w:w="967"/>
        <w:gridCol w:w="970"/>
        <w:gridCol w:w="968"/>
        <w:gridCol w:w="957"/>
        <w:gridCol w:w="1066"/>
        <w:gridCol w:w="1032"/>
        <w:gridCol w:w="1003"/>
        <w:gridCol w:w="1044"/>
        <w:gridCol w:w="996"/>
        <w:gridCol w:w="987"/>
      </w:tblGrid>
      <w:tr w:rsidR="00A92ED7" w14:paraId="54C894D9" w14:textId="77777777" w:rsidTr="00A92ED7">
        <w:tc>
          <w:tcPr>
            <w:tcW w:w="1816" w:type="dxa"/>
          </w:tcPr>
          <w:p w14:paraId="05F29D18" w14:textId="2FBA36C7" w:rsidR="002815AA" w:rsidRDefault="002815AA" w:rsidP="002815AA">
            <w:pPr>
              <w:ind w:left="0"/>
              <w:jc w:val="center"/>
              <w:rPr>
                <w:i/>
              </w:rPr>
            </w:pPr>
            <w:r>
              <w:rPr>
                <w:b/>
                <w:bCs/>
                <w:color w:val="000000"/>
                <w:sz w:val="20"/>
                <w:szCs w:val="20"/>
              </w:rPr>
              <w:t>UMD_VEG_LC</w:t>
            </w:r>
          </w:p>
        </w:tc>
        <w:tc>
          <w:tcPr>
            <w:tcW w:w="991" w:type="dxa"/>
          </w:tcPr>
          <w:p w14:paraId="47815319" w14:textId="15D4353B" w:rsidR="002815AA" w:rsidRDefault="002815AA" w:rsidP="002815AA">
            <w:pPr>
              <w:ind w:left="0"/>
              <w:jc w:val="center"/>
              <w:rPr>
                <w:i/>
              </w:rPr>
            </w:pPr>
            <w:r>
              <w:rPr>
                <w:b/>
                <w:bCs/>
                <w:color w:val="000000"/>
                <w:sz w:val="20"/>
                <w:szCs w:val="20"/>
              </w:rPr>
              <w:t>ENF</w:t>
            </w:r>
          </w:p>
        </w:tc>
        <w:tc>
          <w:tcPr>
            <w:tcW w:w="991" w:type="dxa"/>
          </w:tcPr>
          <w:p w14:paraId="475DB475" w14:textId="090AD01C" w:rsidR="002815AA" w:rsidRDefault="002815AA" w:rsidP="002815AA">
            <w:pPr>
              <w:ind w:left="0"/>
              <w:jc w:val="center"/>
              <w:rPr>
                <w:i/>
              </w:rPr>
            </w:pPr>
            <w:r>
              <w:rPr>
                <w:b/>
                <w:bCs/>
                <w:color w:val="000000"/>
                <w:sz w:val="20"/>
                <w:szCs w:val="20"/>
              </w:rPr>
              <w:t>EBF</w:t>
            </w:r>
          </w:p>
        </w:tc>
        <w:tc>
          <w:tcPr>
            <w:tcW w:w="994" w:type="dxa"/>
          </w:tcPr>
          <w:p w14:paraId="70E0C631" w14:textId="7EDE7412" w:rsidR="002815AA" w:rsidRDefault="002815AA" w:rsidP="002815AA">
            <w:pPr>
              <w:ind w:left="0"/>
              <w:jc w:val="center"/>
              <w:rPr>
                <w:i/>
              </w:rPr>
            </w:pPr>
            <w:r>
              <w:rPr>
                <w:b/>
                <w:bCs/>
                <w:color w:val="000000"/>
                <w:sz w:val="20"/>
                <w:szCs w:val="20"/>
              </w:rPr>
              <w:t>DNF</w:t>
            </w:r>
          </w:p>
        </w:tc>
        <w:tc>
          <w:tcPr>
            <w:tcW w:w="992" w:type="dxa"/>
          </w:tcPr>
          <w:p w14:paraId="7A202FE5" w14:textId="3717D5B1" w:rsidR="002815AA" w:rsidRDefault="002815AA" w:rsidP="002815AA">
            <w:pPr>
              <w:ind w:left="0"/>
              <w:jc w:val="center"/>
              <w:rPr>
                <w:i/>
              </w:rPr>
            </w:pPr>
            <w:r>
              <w:rPr>
                <w:b/>
                <w:bCs/>
                <w:color w:val="000000"/>
                <w:sz w:val="20"/>
                <w:szCs w:val="20"/>
              </w:rPr>
              <w:t>DBF</w:t>
            </w:r>
          </w:p>
        </w:tc>
        <w:tc>
          <w:tcPr>
            <w:tcW w:w="980" w:type="dxa"/>
          </w:tcPr>
          <w:p w14:paraId="3FDA6C30" w14:textId="286DCA95" w:rsidR="002815AA" w:rsidRDefault="002815AA" w:rsidP="002815AA">
            <w:pPr>
              <w:ind w:left="0"/>
              <w:jc w:val="center"/>
              <w:rPr>
                <w:i/>
              </w:rPr>
            </w:pPr>
            <w:r>
              <w:rPr>
                <w:b/>
                <w:bCs/>
                <w:color w:val="000000"/>
                <w:sz w:val="20"/>
                <w:szCs w:val="20"/>
              </w:rPr>
              <w:t>MF</w:t>
            </w:r>
          </w:p>
        </w:tc>
        <w:tc>
          <w:tcPr>
            <w:tcW w:w="1044" w:type="dxa"/>
          </w:tcPr>
          <w:p w14:paraId="39753AFD" w14:textId="17018375" w:rsidR="002815AA" w:rsidRDefault="002815AA" w:rsidP="002815AA">
            <w:pPr>
              <w:ind w:left="0"/>
              <w:jc w:val="center"/>
              <w:rPr>
                <w:i/>
              </w:rPr>
            </w:pPr>
            <w:proofErr w:type="spellStart"/>
            <w:r>
              <w:rPr>
                <w:b/>
                <w:bCs/>
                <w:color w:val="000000"/>
                <w:sz w:val="20"/>
                <w:szCs w:val="20"/>
              </w:rPr>
              <w:t>CShrub</w:t>
            </w:r>
            <w:proofErr w:type="spellEnd"/>
          </w:p>
        </w:tc>
        <w:tc>
          <w:tcPr>
            <w:tcW w:w="1047" w:type="dxa"/>
          </w:tcPr>
          <w:p w14:paraId="6164D5AC" w14:textId="301CE45D" w:rsidR="002815AA" w:rsidRDefault="002815AA" w:rsidP="002815AA">
            <w:pPr>
              <w:ind w:left="0"/>
              <w:jc w:val="center"/>
              <w:rPr>
                <w:i/>
              </w:rPr>
            </w:pPr>
            <w:proofErr w:type="spellStart"/>
            <w:r>
              <w:rPr>
                <w:b/>
                <w:bCs/>
                <w:color w:val="000000"/>
                <w:sz w:val="20"/>
                <w:szCs w:val="20"/>
              </w:rPr>
              <w:t>OShrub</w:t>
            </w:r>
            <w:proofErr w:type="spellEnd"/>
          </w:p>
        </w:tc>
        <w:tc>
          <w:tcPr>
            <w:tcW w:w="1027" w:type="dxa"/>
          </w:tcPr>
          <w:p w14:paraId="5F719ADA" w14:textId="17B1571D" w:rsidR="002815AA" w:rsidRDefault="002815AA" w:rsidP="002815AA">
            <w:pPr>
              <w:ind w:left="0"/>
              <w:rPr>
                <w:b/>
                <w:bCs/>
                <w:color w:val="000000"/>
                <w:sz w:val="16"/>
                <w:szCs w:val="16"/>
              </w:rPr>
            </w:pPr>
            <w:r>
              <w:rPr>
                <w:b/>
                <w:bCs/>
                <w:color w:val="000000"/>
                <w:sz w:val="16"/>
                <w:szCs w:val="16"/>
              </w:rPr>
              <w:t xml:space="preserve">    Woody</w:t>
            </w:r>
          </w:p>
          <w:p w14:paraId="7466188C" w14:textId="244E7995" w:rsidR="002815AA" w:rsidRDefault="002815AA" w:rsidP="002815AA">
            <w:pPr>
              <w:ind w:left="0"/>
              <w:jc w:val="center"/>
              <w:rPr>
                <w:i/>
              </w:rPr>
            </w:pPr>
            <w:r>
              <w:rPr>
                <w:b/>
                <w:bCs/>
                <w:color w:val="000000"/>
                <w:sz w:val="16"/>
                <w:szCs w:val="16"/>
              </w:rPr>
              <w:t>Savanna</w:t>
            </w:r>
          </w:p>
        </w:tc>
        <w:tc>
          <w:tcPr>
            <w:tcW w:w="1055" w:type="dxa"/>
          </w:tcPr>
          <w:p w14:paraId="0BC8B6BD" w14:textId="719B218B" w:rsidR="002815AA" w:rsidRDefault="002815AA" w:rsidP="002815AA">
            <w:pPr>
              <w:ind w:left="0"/>
              <w:jc w:val="center"/>
              <w:rPr>
                <w:i/>
              </w:rPr>
            </w:pPr>
            <w:r>
              <w:rPr>
                <w:b/>
                <w:bCs/>
                <w:color w:val="000000"/>
                <w:sz w:val="20"/>
                <w:szCs w:val="20"/>
              </w:rPr>
              <w:t>Savanna</w:t>
            </w:r>
          </w:p>
        </w:tc>
        <w:tc>
          <w:tcPr>
            <w:tcW w:w="1012" w:type="dxa"/>
          </w:tcPr>
          <w:p w14:paraId="2E171826" w14:textId="6762B839" w:rsidR="002815AA" w:rsidRDefault="002815AA" w:rsidP="002815AA">
            <w:pPr>
              <w:ind w:left="0"/>
              <w:jc w:val="center"/>
              <w:rPr>
                <w:i/>
              </w:rPr>
            </w:pPr>
            <w:r>
              <w:rPr>
                <w:b/>
                <w:bCs/>
                <w:color w:val="000000"/>
                <w:sz w:val="20"/>
                <w:szCs w:val="20"/>
              </w:rPr>
              <w:t>Grass</w:t>
            </w:r>
          </w:p>
        </w:tc>
        <w:tc>
          <w:tcPr>
            <w:tcW w:w="1001" w:type="dxa"/>
          </w:tcPr>
          <w:p w14:paraId="47063914" w14:textId="51423DBF" w:rsidR="002815AA" w:rsidRDefault="002815AA" w:rsidP="002815AA">
            <w:pPr>
              <w:ind w:left="0"/>
              <w:jc w:val="center"/>
              <w:rPr>
                <w:i/>
              </w:rPr>
            </w:pPr>
            <w:r>
              <w:rPr>
                <w:b/>
                <w:bCs/>
                <w:color w:val="000000"/>
                <w:sz w:val="20"/>
                <w:szCs w:val="20"/>
              </w:rPr>
              <w:t>Crop</w:t>
            </w:r>
          </w:p>
        </w:tc>
      </w:tr>
      <w:tr w:rsidR="00A92ED7" w14:paraId="5B1F4799" w14:textId="77777777" w:rsidTr="00A92ED7">
        <w:tc>
          <w:tcPr>
            <w:tcW w:w="1816" w:type="dxa"/>
          </w:tcPr>
          <w:p w14:paraId="2E0327D8" w14:textId="280C90C7" w:rsidR="002815AA" w:rsidRDefault="002815AA" w:rsidP="00E16029">
            <w:pPr>
              <w:ind w:left="0"/>
              <w:jc w:val="both"/>
              <w:rPr>
                <w:i/>
              </w:rPr>
            </w:pPr>
            <w:proofErr w:type="spellStart"/>
            <w:r>
              <w:rPr>
                <w:bCs/>
                <w:color w:val="000000"/>
                <w:sz w:val="20"/>
                <w:szCs w:val="20"/>
              </w:rPr>
              <w:t>Tmin_min</w:t>
            </w:r>
            <w:proofErr w:type="spellEnd"/>
            <w:r>
              <w:rPr>
                <w:bCs/>
                <w:color w:val="000000"/>
                <w:sz w:val="20"/>
                <w:szCs w:val="20"/>
              </w:rPr>
              <w:t xml:space="preserve"> (C)</w:t>
            </w:r>
          </w:p>
        </w:tc>
        <w:tc>
          <w:tcPr>
            <w:tcW w:w="991" w:type="dxa"/>
            <w:vAlign w:val="bottom"/>
          </w:tcPr>
          <w:p w14:paraId="4A1C493C" w14:textId="051AFCE3" w:rsidR="002815AA" w:rsidRDefault="002815AA" w:rsidP="00FF05A8">
            <w:pPr>
              <w:ind w:left="0"/>
              <w:jc w:val="right"/>
              <w:rPr>
                <w:i/>
              </w:rPr>
            </w:pPr>
            <w:r>
              <w:rPr>
                <w:color w:val="000000"/>
                <w:sz w:val="20"/>
                <w:szCs w:val="20"/>
              </w:rPr>
              <w:t>-8</w:t>
            </w:r>
          </w:p>
        </w:tc>
        <w:tc>
          <w:tcPr>
            <w:tcW w:w="991" w:type="dxa"/>
            <w:vAlign w:val="bottom"/>
          </w:tcPr>
          <w:p w14:paraId="3A324C61" w14:textId="776434BA" w:rsidR="002815AA" w:rsidRDefault="002815AA" w:rsidP="00FF05A8">
            <w:pPr>
              <w:ind w:left="0"/>
              <w:jc w:val="right"/>
              <w:rPr>
                <w:i/>
              </w:rPr>
            </w:pPr>
            <w:r>
              <w:rPr>
                <w:color w:val="000000"/>
                <w:sz w:val="20"/>
                <w:szCs w:val="20"/>
              </w:rPr>
              <w:t>-8</w:t>
            </w:r>
          </w:p>
        </w:tc>
        <w:tc>
          <w:tcPr>
            <w:tcW w:w="994" w:type="dxa"/>
            <w:vAlign w:val="bottom"/>
          </w:tcPr>
          <w:p w14:paraId="36A8E6F4" w14:textId="5A47C079" w:rsidR="002815AA" w:rsidRDefault="002815AA" w:rsidP="00FF05A8">
            <w:pPr>
              <w:ind w:left="0"/>
              <w:jc w:val="right"/>
              <w:rPr>
                <w:i/>
              </w:rPr>
            </w:pPr>
            <w:r>
              <w:rPr>
                <w:color w:val="000000"/>
                <w:sz w:val="20"/>
                <w:szCs w:val="20"/>
              </w:rPr>
              <w:t>-8</w:t>
            </w:r>
          </w:p>
        </w:tc>
        <w:tc>
          <w:tcPr>
            <w:tcW w:w="992" w:type="dxa"/>
            <w:vAlign w:val="bottom"/>
          </w:tcPr>
          <w:p w14:paraId="08B0DD96" w14:textId="0DAFDA5F" w:rsidR="002815AA" w:rsidRDefault="002815AA" w:rsidP="00FF05A8">
            <w:pPr>
              <w:ind w:left="0"/>
              <w:jc w:val="right"/>
              <w:rPr>
                <w:i/>
              </w:rPr>
            </w:pPr>
            <w:r>
              <w:rPr>
                <w:color w:val="000000"/>
                <w:sz w:val="20"/>
                <w:szCs w:val="20"/>
              </w:rPr>
              <w:t>-6</w:t>
            </w:r>
          </w:p>
        </w:tc>
        <w:tc>
          <w:tcPr>
            <w:tcW w:w="980" w:type="dxa"/>
            <w:vAlign w:val="bottom"/>
          </w:tcPr>
          <w:p w14:paraId="043166CA" w14:textId="2E591E05" w:rsidR="002815AA" w:rsidRDefault="002815AA" w:rsidP="00FF05A8">
            <w:pPr>
              <w:ind w:left="0"/>
              <w:jc w:val="right"/>
              <w:rPr>
                <w:i/>
              </w:rPr>
            </w:pPr>
            <w:r>
              <w:rPr>
                <w:color w:val="000000"/>
                <w:sz w:val="20"/>
                <w:szCs w:val="20"/>
              </w:rPr>
              <w:t>-7</w:t>
            </w:r>
          </w:p>
        </w:tc>
        <w:tc>
          <w:tcPr>
            <w:tcW w:w="1044" w:type="dxa"/>
            <w:vAlign w:val="bottom"/>
          </w:tcPr>
          <w:p w14:paraId="7640F5B2" w14:textId="2BE15F70" w:rsidR="002815AA" w:rsidRDefault="002815AA" w:rsidP="00FF05A8">
            <w:pPr>
              <w:ind w:left="0"/>
              <w:jc w:val="right"/>
              <w:rPr>
                <w:i/>
              </w:rPr>
            </w:pPr>
            <w:r>
              <w:rPr>
                <w:color w:val="000000"/>
                <w:sz w:val="20"/>
                <w:szCs w:val="20"/>
              </w:rPr>
              <w:t>-8</w:t>
            </w:r>
          </w:p>
        </w:tc>
        <w:tc>
          <w:tcPr>
            <w:tcW w:w="1047" w:type="dxa"/>
            <w:vAlign w:val="bottom"/>
          </w:tcPr>
          <w:p w14:paraId="351EB536" w14:textId="00171951" w:rsidR="002815AA" w:rsidRDefault="002815AA" w:rsidP="00FF05A8">
            <w:pPr>
              <w:ind w:left="0"/>
              <w:jc w:val="right"/>
              <w:rPr>
                <w:i/>
              </w:rPr>
            </w:pPr>
            <w:r>
              <w:rPr>
                <w:color w:val="000000"/>
                <w:sz w:val="20"/>
                <w:szCs w:val="20"/>
              </w:rPr>
              <w:t>-8</w:t>
            </w:r>
          </w:p>
        </w:tc>
        <w:tc>
          <w:tcPr>
            <w:tcW w:w="1027" w:type="dxa"/>
            <w:vAlign w:val="bottom"/>
          </w:tcPr>
          <w:p w14:paraId="761AA2B8" w14:textId="1132F2CC" w:rsidR="002815AA" w:rsidRDefault="002815AA" w:rsidP="00FF05A8">
            <w:pPr>
              <w:ind w:left="0"/>
              <w:jc w:val="right"/>
              <w:rPr>
                <w:i/>
              </w:rPr>
            </w:pPr>
            <w:r>
              <w:rPr>
                <w:color w:val="000000"/>
                <w:sz w:val="20"/>
                <w:szCs w:val="20"/>
              </w:rPr>
              <w:t>-8</w:t>
            </w:r>
          </w:p>
        </w:tc>
        <w:tc>
          <w:tcPr>
            <w:tcW w:w="1055" w:type="dxa"/>
            <w:vAlign w:val="bottom"/>
          </w:tcPr>
          <w:p w14:paraId="76E15F55" w14:textId="6A9942B1" w:rsidR="002815AA" w:rsidRDefault="002815AA" w:rsidP="00FF05A8">
            <w:pPr>
              <w:ind w:left="0"/>
              <w:jc w:val="right"/>
              <w:rPr>
                <w:i/>
              </w:rPr>
            </w:pPr>
            <w:r>
              <w:rPr>
                <w:color w:val="000000"/>
                <w:sz w:val="20"/>
                <w:szCs w:val="20"/>
              </w:rPr>
              <w:t>-8</w:t>
            </w:r>
          </w:p>
        </w:tc>
        <w:tc>
          <w:tcPr>
            <w:tcW w:w="1012" w:type="dxa"/>
            <w:vAlign w:val="bottom"/>
          </w:tcPr>
          <w:p w14:paraId="3F132EB3" w14:textId="14A06BD8" w:rsidR="002815AA" w:rsidRDefault="002815AA" w:rsidP="00FF05A8">
            <w:pPr>
              <w:ind w:left="0"/>
              <w:jc w:val="right"/>
              <w:rPr>
                <w:i/>
              </w:rPr>
            </w:pPr>
            <w:r>
              <w:rPr>
                <w:color w:val="000000"/>
                <w:sz w:val="20"/>
                <w:szCs w:val="20"/>
              </w:rPr>
              <w:t>-8</w:t>
            </w:r>
          </w:p>
        </w:tc>
        <w:tc>
          <w:tcPr>
            <w:tcW w:w="1001" w:type="dxa"/>
            <w:vAlign w:val="bottom"/>
          </w:tcPr>
          <w:p w14:paraId="5DF35561" w14:textId="6956022D" w:rsidR="002815AA" w:rsidRDefault="002815AA" w:rsidP="00FF05A8">
            <w:pPr>
              <w:ind w:left="0"/>
              <w:jc w:val="right"/>
              <w:rPr>
                <w:i/>
              </w:rPr>
            </w:pPr>
            <w:r>
              <w:rPr>
                <w:color w:val="000000"/>
                <w:sz w:val="20"/>
                <w:szCs w:val="20"/>
              </w:rPr>
              <w:t>-8</w:t>
            </w:r>
          </w:p>
        </w:tc>
      </w:tr>
      <w:tr w:rsidR="00A92ED7" w14:paraId="35FC92B3" w14:textId="77777777" w:rsidTr="00A92ED7">
        <w:tc>
          <w:tcPr>
            <w:tcW w:w="1816" w:type="dxa"/>
          </w:tcPr>
          <w:p w14:paraId="5A0A9EDC" w14:textId="239E67D8" w:rsidR="002815AA" w:rsidRDefault="002815AA" w:rsidP="00E16029">
            <w:pPr>
              <w:ind w:left="0"/>
              <w:jc w:val="both"/>
              <w:rPr>
                <w:i/>
              </w:rPr>
            </w:pPr>
            <w:proofErr w:type="spellStart"/>
            <w:r>
              <w:rPr>
                <w:bCs/>
                <w:color w:val="000000"/>
                <w:sz w:val="20"/>
                <w:szCs w:val="20"/>
              </w:rPr>
              <w:t>Tmin_max</w:t>
            </w:r>
            <w:proofErr w:type="spellEnd"/>
            <w:r>
              <w:rPr>
                <w:bCs/>
                <w:color w:val="000000"/>
                <w:sz w:val="20"/>
                <w:szCs w:val="20"/>
              </w:rPr>
              <w:t xml:space="preserve"> (C)</w:t>
            </w:r>
          </w:p>
        </w:tc>
        <w:tc>
          <w:tcPr>
            <w:tcW w:w="991" w:type="dxa"/>
            <w:vAlign w:val="bottom"/>
          </w:tcPr>
          <w:p w14:paraId="647D3570" w14:textId="0F0287BD" w:rsidR="002815AA" w:rsidRDefault="002815AA" w:rsidP="00FF05A8">
            <w:pPr>
              <w:ind w:left="0"/>
              <w:jc w:val="right"/>
              <w:rPr>
                <w:i/>
              </w:rPr>
            </w:pPr>
            <w:r>
              <w:rPr>
                <w:color w:val="000000"/>
                <w:sz w:val="20"/>
                <w:szCs w:val="20"/>
              </w:rPr>
              <w:t>3.6</w:t>
            </w:r>
          </w:p>
        </w:tc>
        <w:tc>
          <w:tcPr>
            <w:tcW w:w="991" w:type="dxa"/>
            <w:vAlign w:val="bottom"/>
          </w:tcPr>
          <w:p w14:paraId="3277E986" w14:textId="6F1E0EF6" w:rsidR="002815AA" w:rsidRDefault="002815AA" w:rsidP="00FF05A8">
            <w:pPr>
              <w:ind w:left="0"/>
              <w:jc w:val="right"/>
              <w:rPr>
                <w:i/>
              </w:rPr>
            </w:pPr>
            <w:r>
              <w:rPr>
                <w:color w:val="000000"/>
                <w:sz w:val="20"/>
                <w:szCs w:val="20"/>
              </w:rPr>
              <w:t>20.2</w:t>
            </w:r>
          </w:p>
        </w:tc>
        <w:tc>
          <w:tcPr>
            <w:tcW w:w="994" w:type="dxa"/>
            <w:vAlign w:val="bottom"/>
          </w:tcPr>
          <w:p w14:paraId="3D46795F" w14:textId="6F30E122" w:rsidR="002815AA" w:rsidRDefault="002815AA" w:rsidP="00FF05A8">
            <w:pPr>
              <w:ind w:left="0"/>
              <w:jc w:val="right"/>
              <w:rPr>
                <w:i/>
              </w:rPr>
            </w:pPr>
            <w:r>
              <w:rPr>
                <w:color w:val="000000"/>
                <w:sz w:val="20"/>
                <w:szCs w:val="20"/>
              </w:rPr>
              <w:t>3.7</w:t>
            </w:r>
          </w:p>
        </w:tc>
        <w:tc>
          <w:tcPr>
            <w:tcW w:w="992" w:type="dxa"/>
            <w:vAlign w:val="bottom"/>
          </w:tcPr>
          <w:p w14:paraId="53AAF41F" w14:textId="4139D99A" w:rsidR="002815AA" w:rsidRDefault="002815AA" w:rsidP="00FF05A8">
            <w:pPr>
              <w:ind w:left="0"/>
              <w:jc w:val="right"/>
              <w:rPr>
                <w:i/>
              </w:rPr>
            </w:pPr>
            <w:r>
              <w:rPr>
                <w:color w:val="000000"/>
                <w:sz w:val="20"/>
                <w:szCs w:val="20"/>
              </w:rPr>
              <w:t>21.4</w:t>
            </w:r>
          </w:p>
        </w:tc>
        <w:tc>
          <w:tcPr>
            <w:tcW w:w="980" w:type="dxa"/>
            <w:vAlign w:val="bottom"/>
          </w:tcPr>
          <w:p w14:paraId="60643575" w14:textId="635DB359" w:rsidR="002815AA" w:rsidRDefault="002815AA" w:rsidP="00FF05A8">
            <w:pPr>
              <w:ind w:left="0"/>
              <w:jc w:val="right"/>
              <w:rPr>
                <w:i/>
              </w:rPr>
            </w:pPr>
            <w:r>
              <w:rPr>
                <w:color w:val="000000"/>
                <w:sz w:val="20"/>
                <w:szCs w:val="20"/>
              </w:rPr>
              <w:t>17.8</w:t>
            </w:r>
          </w:p>
        </w:tc>
        <w:tc>
          <w:tcPr>
            <w:tcW w:w="1044" w:type="dxa"/>
            <w:vAlign w:val="bottom"/>
          </w:tcPr>
          <w:p w14:paraId="7F63AE6E" w14:textId="1CB64556" w:rsidR="002815AA" w:rsidRDefault="002815AA" w:rsidP="00FF05A8">
            <w:pPr>
              <w:ind w:left="0"/>
              <w:jc w:val="right"/>
              <w:rPr>
                <w:i/>
              </w:rPr>
            </w:pPr>
            <w:r>
              <w:rPr>
                <w:color w:val="000000"/>
                <w:sz w:val="20"/>
                <w:szCs w:val="20"/>
              </w:rPr>
              <w:t>19.4</w:t>
            </w:r>
          </w:p>
        </w:tc>
        <w:tc>
          <w:tcPr>
            <w:tcW w:w="1047" w:type="dxa"/>
            <w:vAlign w:val="bottom"/>
          </w:tcPr>
          <w:p w14:paraId="2E27A580" w14:textId="178EAC37" w:rsidR="002815AA" w:rsidRDefault="002815AA" w:rsidP="00FF05A8">
            <w:pPr>
              <w:ind w:left="0"/>
              <w:jc w:val="right"/>
              <w:rPr>
                <w:i/>
              </w:rPr>
            </w:pPr>
            <w:r>
              <w:rPr>
                <w:color w:val="000000"/>
                <w:sz w:val="20"/>
                <w:szCs w:val="20"/>
              </w:rPr>
              <w:t>11.1</w:t>
            </w:r>
          </w:p>
        </w:tc>
        <w:tc>
          <w:tcPr>
            <w:tcW w:w="1027" w:type="dxa"/>
            <w:vAlign w:val="bottom"/>
          </w:tcPr>
          <w:p w14:paraId="4204FCC9" w14:textId="577187C1" w:rsidR="002815AA" w:rsidRDefault="002815AA" w:rsidP="00FF05A8">
            <w:pPr>
              <w:ind w:left="0"/>
              <w:jc w:val="right"/>
              <w:rPr>
                <w:i/>
              </w:rPr>
            </w:pPr>
            <w:r>
              <w:rPr>
                <w:color w:val="000000"/>
                <w:sz w:val="20"/>
                <w:szCs w:val="20"/>
              </w:rPr>
              <w:t>10.9</w:t>
            </w:r>
          </w:p>
        </w:tc>
        <w:tc>
          <w:tcPr>
            <w:tcW w:w="1055" w:type="dxa"/>
            <w:vAlign w:val="bottom"/>
          </w:tcPr>
          <w:p w14:paraId="54628A54" w14:textId="3971E5C8" w:rsidR="002815AA" w:rsidRDefault="002815AA" w:rsidP="00FF05A8">
            <w:pPr>
              <w:ind w:left="0"/>
              <w:jc w:val="right"/>
              <w:rPr>
                <w:i/>
              </w:rPr>
            </w:pPr>
            <w:r>
              <w:rPr>
                <w:color w:val="000000"/>
                <w:sz w:val="20"/>
                <w:szCs w:val="20"/>
              </w:rPr>
              <w:t>8.1</w:t>
            </w:r>
          </w:p>
        </w:tc>
        <w:tc>
          <w:tcPr>
            <w:tcW w:w="1012" w:type="dxa"/>
            <w:vAlign w:val="bottom"/>
          </w:tcPr>
          <w:p w14:paraId="63619427" w14:textId="61890E5C" w:rsidR="002815AA" w:rsidRDefault="002815AA" w:rsidP="00FF05A8">
            <w:pPr>
              <w:ind w:left="0"/>
              <w:jc w:val="right"/>
              <w:rPr>
                <w:i/>
              </w:rPr>
            </w:pPr>
            <w:r>
              <w:rPr>
                <w:color w:val="000000"/>
                <w:sz w:val="20"/>
                <w:szCs w:val="20"/>
              </w:rPr>
              <w:t>5</w:t>
            </w:r>
          </w:p>
        </w:tc>
        <w:tc>
          <w:tcPr>
            <w:tcW w:w="1001" w:type="dxa"/>
            <w:vAlign w:val="bottom"/>
          </w:tcPr>
          <w:p w14:paraId="317D7BA1" w14:textId="61F8BE0E" w:rsidR="002815AA" w:rsidRDefault="002815AA" w:rsidP="00FF05A8">
            <w:pPr>
              <w:ind w:left="0"/>
              <w:jc w:val="right"/>
              <w:rPr>
                <w:i/>
              </w:rPr>
            </w:pPr>
            <w:r>
              <w:rPr>
                <w:color w:val="000000"/>
                <w:sz w:val="20"/>
                <w:szCs w:val="20"/>
              </w:rPr>
              <w:t>21.5</w:t>
            </w:r>
          </w:p>
        </w:tc>
      </w:tr>
      <w:tr w:rsidR="00A92ED7" w14:paraId="79B98197" w14:textId="77777777" w:rsidTr="00A92ED7">
        <w:tc>
          <w:tcPr>
            <w:tcW w:w="1816" w:type="dxa"/>
          </w:tcPr>
          <w:p w14:paraId="3594B43F" w14:textId="1EA008BD" w:rsidR="002815AA" w:rsidRDefault="002815AA" w:rsidP="00E16029">
            <w:pPr>
              <w:ind w:left="0"/>
              <w:jc w:val="both"/>
              <w:rPr>
                <w:i/>
              </w:rPr>
            </w:pPr>
            <w:proofErr w:type="spellStart"/>
            <w:r>
              <w:rPr>
                <w:bCs/>
                <w:color w:val="000000"/>
                <w:sz w:val="20"/>
                <w:szCs w:val="20"/>
              </w:rPr>
              <w:t>VPD_min</w:t>
            </w:r>
            <w:proofErr w:type="spellEnd"/>
            <w:r>
              <w:rPr>
                <w:bCs/>
                <w:color w:val="000000"/>
                <w:sz w:val="20"/>
                <w:szCs w:val="20"/>
              </w:rPr>
              <w:t xml:space="preserve"> (Pa)</w:t>
            </w:r>
          </w:p>
        </w:tc>
        <w:tc>
          <w:tcPr>
            <w:tcW w:w="991" w:type="dxa"/>
            <w:vAlign w:val="bottom"/>
          </w:tcPr>
          <w:p w14:paraId="24D398D9" w14:textId="7C7BF27A" w:rsidR="002815AA" w:rsidRDefault="002815AA" w:rsidP="00FF05A8">
            <w:pPr>
              <w:ind w:left="0"/>
              <w:jc w:val="right"/>
              <w:rPr>
                <w:i/>
              </w:rPr>
            </w:pPr>
            <w:r>
              <w:rPr>
                <w:color w:val="000000"/>
                <w:sz w:val="20"/>
                <w:szCs w:val="20"/>
              </w:rPr>
              <w:t>650</w:t>
            </w:r>
          </w:p>
        </w:tc>
        <w:tc>
          <w:tcPr>
            <w:tcW w:w="991" w:type="dxa"/>
            <w:vAlign w:val="bottom"/>
          </w:tcPr>
          <w:p w14:paraId="649B8D01" w14:textId="3A123EE3" w:rsidR="002815AA" w:rsidRDefault="002815AA" w:rsidP="00FF05A8">
            <w:pPr>
              <w:ind w:left="0"/>
              <w:jc w:val="right"/>
              <w:rPr>
                <w:i/>
              </w:rPr>
            </w:pPr>
            <w:r>
              <w:rPr>
                <w:color w:val="000000"/>
                <w:sz w:val="20"/>
                <w:szCs w:val="20"/>
              </w:rPr>
              <w:t>1000</w:t>
            </w:r>
          </w:p>
        </w:tc>
        <w:tc>
          <w:tcPr>
            <w:tcW w:w="994" w:type="dxa"/>
            <w:vAlign w:val="bottom"/>
          </w:tcPr>
          <w:p w14:paraId="3E7D46D7" w14:textId="69035B03" w:rsidR="002815AA" w:rsidRDefault="002815AA" w:rsidP="00FF05A8">
            <w:pPr>
              <w:ind w:left="0"/>
              <w:jc w:val="right"/>
              <w:rPr>
                <w:i/>
              </w:rPr>
            </w:pPr>
            <w:r>
              <w:rPr>
                <w:color w:val="000000"/>
                <w:sz w:val="20"/>
                <w:szCs w:val="20"/>
              </w:rPr>
              <w:t>650</w:t>
            </w:r>
          </w:p>
        </w:tc>
        <w:tc>
          <w:tcPr>
            <w:tcW w:w="992" w:type="dxa"/>
            <w:vAlign w:val="bottom"/>
          </w:tcPr>
          <w:p w14:paraId="67137A06" w14:textId="40C7660B" w:rsidR="002815AA" w:rsidRDefault="002815AA" w:rsidP="00FF05A8">
            <w:pPr>
              <w:ind w:left="0"/>
              <w:jc w:val="right"/>
              <w:rPr>
                <w:i/>
              </w:rPr>
            </w:pPr>
            <w:r>
              <w:rPr>
                <w:color w:val="000000"/>
                <w:sz w:val="20"/>
                <w:szCs w:val="20"/>
              </w:rPr>
              <w:t>650</w:t>
            </w:r>
          </w:p>
        </w:tc>
        <w:tc>
          <w:tcPr>
            <w:tcW w:w="980" w:type="dxa"/>
            <w:vAlign w:val="bottom"/>
          </w:tcPr>
          <w:p w14:paraId="713D22CD" w14:textId="3CA299AD" w:rsidR="002815AA" w:rsidRDefault="002815AA" w:rsidP="00FF05A8">
            <w:pPr>
              <w:ind w:left="0"/>
              <w:jc w:val="right"/>
              <w:rPr>
                <w:i/>
              </w:rPr>
            </w:pPr>
            <w:r>
              <w:rPr>
                <w:color w:val="000000"/>
                <w:sz w:val="20"/>
                <w:szCs w:val="20"/>
              </w:rPr>
              <w:t>650</w:t>
            </w:r>
          </w:p>
        </w:tc>
        <w:tc>
          <w:tcPr>
            <w:tcW w:w="1044" w:type="dxa"/>
            <w:vAlign w:val="bottom"/>
          </w:tcPr>
          <w:p w14:paraId="516CFE85" w14:textId="44EE47FB" w:rsidR="002815AA" w:rsidRDefault="002815AA" w:rsidP="00FF05A8">
            <w:pPr>
              <w:ind w:left="0"/>
              <w:jc w:val="right"/>
              <w:rPr>
                <w:i/>
              </w:rPr>
            </w:pPr>
            <w:r>
              <w:rPr>
                <w:color w:val="000000"/>
                <w:sz w:val="20"/>
                <w:szCs w:val="20"/>
              </w:rPr>
              <w:t>650</w:t>
            </w:r>
          </w:p>
        </w:tc>
        <w:tc>
          <w:tcPr>
            <w:tcW w:w="1047" w:type="dxa"/>
            <w:vAlign w:val="bottom"/>
          </w:tcPr>
          <w:p w14:paraId="5D6D0B4F" w14:textId="044C42A0" w:rsidR="002815AA" w:rsidRDefault="002815AA" w:rsidP="00FF05A8">
            <w:pPr>
              <w:ind w:left="0"/>
              <w:jc w:val="right"/>
              <w:rPr>
                <w:i/>
              </w:rPr>
            </w:pPr>
            <w:r>
              <w:rPr>
                <w:color w:val="000000"/>
                <w:sz w:val="20"/>
                <w:szCs w:val="20"/>
              </w:rPr>
              <w:t>650</w:t>
            </w:r>
          </w:p>
        </w:tc>
        <w:tc>
          <w:tcPr>
            <w:tcW w:w="1027" w:type="dxa"/>
            <w:vAlign w:val="bottom"/>
          </w:tcPr>
          <w:p w14:paraId="3B57AB1E" w14:textId="7CA4B0D0" w:rsidR="002815AA" w:rsidRDefault="002815AA" w:rsidP="00FF05A8">
            <w:pPr>
              <w:ind w:left="0"/>
              <w:jc w:val="right"/>
              <w:rPr>
                <w:i/>
              </w:rPr>
            </w:pPr>
            <w:r>
              <w:rPr>
                <w:color w:val="000000"/>
                <w:sz w:val="20"/>
                <w:szCs w:val="20"/>
              </w:rPr>
              <w:t>650</w:t>
            </w:r>
          </w:p>
        </w:tc>
        <w:tc>
          <w:tcPr>
            <w:tcW w:w="1055" w:type="dxa"/>
            <w:vAlign w:val="bottom"/>
          </w:tcPr>
          <w:p w14:paraId="2D4C7A70" w14:textId="552020B6" w:rsidR="002815AA" w:rsidRDefault="002815AA" w:rsidP="00FF05A8">
            <w:pPr>
              <w:ind w:left="0"/>
              <w:jc w:val="right"/>
              <w:rPr>
                <w:i/>
              </w:rPr>
            </w:pPr>
            <w:r>
              <w:rPr>
                <w:color w:val="000000"/>
                <w:sz w:val="20"/>
                <w:szCs w:val="20"/>
              </w:rPr>
              <w:t>650</w:t>
            </w:r>
          </w:p>
        </w:tc>
        <w:tc>
          <w:tcPr>
            <w:tcW w:w="1012" w:type="dxa"/>
            <w:vAlign w:val="bottom"/>
          </w:tcPr>
          <w:p w14:paraId="6A01DAAD" w14:textId="4C93B76A" w:rsidR="002815AA" w:rsidRDefault="002815AA" w:rsidP="00FF05A8">
            <w:pPr>
              <w:ind w:left="0"/>
              <w:jc w:val="right"/>
              <w:rPr>
                <w:i/>
              </w:rPr>
            </w:pPr>
            <w:r>
              <w:rPr>
                <w:color w:val="000000"/>
                <w:sz w:val="20"/>
                <w:szCs w:val="20"/>
              </w:rPr>
              <w:t>650</w:t>
            </w:r>
          </w:p>
        </w:tc>
        <w:tc>
          <w:tcPr>
            <w:tcW w:w="1001" w:type="dxa"/>
            <w:vAlign w:val="bottom"/>
          </w:tcPr>
          <w:p w14:paraId="642EFD55" w14:textId="59F03A6B" w:rsidR="002815AA" w:rsidRDefault="002815AA" w:rsidP="00FF05A8">
            <w:pPr>
              <w:ind w:left="0"/>
              <w:jc w:val="right"/>
              <w:rPr>
                <w:i/>
              </w:rPr>
            </w:pPr>
            <w:r>
              <w:rPr>
                <w:color w:val="000000"/>
                <w:sz w:val="20"/>
                <w:szCs w:val="20"/>
              </w:rPr>
              <w:t>650</w:t>
            </w:r>
          </w:p>
        </w:tc>
      </w:tr>
      <w:tr w:rsidR="00A92ED7" w14:paraId="0DA919D7" w14:textId="77777777" w:rsidTr="00A92ED7">
        <w:tc>
          <w:tcPr>
            <w:tcW w:w="1816" w:type="dxa"/>
          </w:tcPr>
          <w:p w14:paraId="5CAD6448" w14:textId="6FFDFDB3" w:rsidR="002815AA" w:rsidRDefault="002815AA" w:rsidP="00E16029">
            <w:pPr>
              <w:ind w:left="0"/>
              <w:jc w:val="both"/>
              <w:rPr>
                <w:i/>
              </w:rPr>
            </w:pPr>
            <w:proofErr w:type="spellStart"/>
            <w:r>
              <w:rPr>
                <w:bCs/>
                <w:color w:val="000000"/>
                <w:sz w:val="20"/>
                <w:szCs w:val="20"/>
              </w:rPr>
              <w:t>VPD_max</w:t>
            </w:r>
            <w:proofErr w:type="spellEnd"/>
            <w:r>
              <w:rPr>
                <w:bCs/>
                <w:color w:val="000000"/>
                <w:sz w:val="20"/>
                <w:szCs w:val="20"/>
              </w:rPr>
              <w:t xml:space="preserve"> (Pa)</w:t>
            </w:r>
          </w:p>
        </w:tc>
        <w:tc>
          <w:tcPr>
            <w:tcW w:w="991" w:type="dxa"/>
            <w:vAlign w:val="bottom"/>
          </w:tcPr>
          <w:p w14:paraId="02ED03B0" w14:textId="7DFAAC44" w:rsidR="002815AA" w:rsidRDefault="002815AA" w:rsidP="00FF05A8">
            <w:pPr>
              <w:ind w:left="0"/>
              <w:jc w:val="right"/>
              <w:rPr>
                <w:i/>
              </w:rPr>
            </w:pPr>
            <w:r>
              <w:rPr>
                <w:color w:val="000000"/>
                <w:sz w:val="20"/>
                <w:szCs w:val="20"/>
              </w:rPr>
              <w:t>4636</w:t>
            </w:r>
          </w:p>
        </w:tc>
        <w:tc>
          <w:tcPr>
            <w:tcW w:w="991" w:type="dxa"/>
            <w:vAlign w:val="bottom"/>
          </w:tcPr>
          <w:p w14:paraId="59B32F22" w14:textId="14AFB0A8" w:rsidR="002815AA" w:rsidRDefault="002815AA" w:rsidP="00FF05A8">
            <w:pPr>
              <w:ind w:left="0"/>
              <w:jc w:val="right"/>
              <w:rPr>
                <w:i/>
              </w:rPr>
            </w:pPr>
            <w:r>
              <w:rPr>
                <w:color w:val="000000"/>
                <w:sz w:val="20"/>
                <w:szCs w:val="20"/>
              </w:rPr>
              <w:t>4285</w:t>
            </w:r>
          </w:p>
        </w:tc>
        <w:tc>
          <w:tcPr>
            <w:tcW w:w="994" w:type="dxa"/>
            <w:vAlign w:val="bottom"/>
          </w:tcPr>
          <w:p w14:paraId="4A240E09" w14:textId="3318CB90" w:rsidR="002815AA" w:rsidRDefault="002815AA" w:rsidP="00FF05A8">
            <w:pPr>
              <w:ind w:left="0"/>
              <w:jc w:val="right"/>
              <w:rPr>
                <w:i/>
              </w:rPr>
            </w:pPr>
            <w:r w:rsidRPr="003F082E">
              <w:rPr>
                <w:color w:val="000000"/>
                <w:sz w:val="20"/>
                <w:szCs w:val="20"/>
              </w:rPr>
              <w:t>2462</w:t>
            </w:r>
          </w:p>
        </w:tc>
        <w:tc>
          <w:tcPr>
            <w:tcW w:w="992" w:type="dxa"/>
            <w:vAlign w:val="bottom"/>
          </w:tcPr>
          <w:p w14:paraId="643B4237" w14:textId="5946256F" w:rsidR="002815AA" w:rsidRDefault="002815AA" w:rsidP="00FF05A8">
            <w:pPr>
              <w:ind w:left="0"/>
              <w:jc w:val="right"/>
              <w:rPr>
                <w:i/>
              </w:rPr>
            </w:pPr>
            <w:r w:rsidRPr="003F082E">
              <w:rPr>
                <w:color w:val="000000"/>
                <w:sz w:val="20"/>
                <w:szCs w:val="20"/>
              </w:rPr>
              <w:t>3434</w:t>
            </w:r>
          </w:p>
        </w:tc>
        <w:tc>
          <w:tcPr>
            <w:tcW w:w="980" w:type="dxa"/>
            <w:vAlign w:val="bottom"/>
          </w:tcPr>
          <w:p w14:paraId="506814BE" w14:textId="7316F028" w:rsidR="002815AA" w:rsidRDefault="002815AA" w:rsidP="00FF05A8">
            <w:pPr>
              <w:ind w:left="0"/>
              <w:jc w:val="right"/>
              <w:rPr>
                <w:i/>
              </w:rPr>
            </w:pPr>
            <w:r w:rsidRPr="003F082E">
              <w:rPr>
                <w:color w:val="000000"/>
                <w:sz w:val="20"/>
                <w:szCs w:val="20"/>
              </w:rPr>
              <w:t>3923</w:t>
            </w:r>
          </w:p>
        </w:tc>
        <w:tc>
          <w:tcPr>
            <w:tcW w:w="1044" w:type="dxa"/>
            <w:vAlign w:val="bottom"/>
          </w:tcPr>
          <w:p w14:paraId="43F091EB" w14:textId="520830C1" w:rsidR="002815AA" w:rsidRDefault="002815AA" w:rsidP="00FF05A8">
            <w:pPr>
              <w:ind w:left="0"/>
              <w:jc w:val="right"/>
              <w:rPr>
                <w:i/>
              </w:rPr>
            </w:pPr>
            <w:r w:rsidRPr="003F082E">
              <w:rPr>
                <w:color w:val="000000"/>
                <w:sz w:val="20"/>
                <w:szCs w:val="20"/>
              </w:rPr>
              <w:t>4673</w:t>
            </w:r>
          </w:p>
        </w:tc>
        <w:tc>
          <w:tcPr>
            <w:tcW w:w="1047" w:type="dxa"/>
            <w:vAlign w:val="bottom"/>
          </w:tcPr>
          <w:p w14:paraId="7F1AB67D" w14:textId="1F43507B" w:rsidR="002815AA" w:rsidRDefault="002815AA" w:rsidP="00FF05A8">
            <w:pPr>
              <w:ind w:left="0"/>
              <w:jc w:val="right"/>
              <w:rPr>
                <w:i/>
              </w:rPr>
            </w:pPr>
            <w:r w:rsidRPr="003F082E">
              <w:rPr>
                <w:color w:val="000000"/>
                <w:sz w:val="20"/>
                <w:szCs w:val="20"/>
              </w:rPr>
              <w:t>5365</w:t>
            </w:r>
          </w:p>
        </w:tc>
        <w:tc>
          <w:tcPr>
            <w:tcW w:w="1027" w:type="dxa"/>
            <w:vAlign w:val="bottom"/>
          </w:tcPr>
          <w:p w14:paraId="3ED7DC9C" w14:textId="74733587" w:rsidR="002815AA" w:rsidRDefault="002815AA" w:rsidP="00FF05A8">
            <w:pPr>
              <w:ind w:left="0"/>
              <w:jc w:val="right"/>
              <w:rPr>
                <w:i/>
              </w:rPr>
            </w:pPr>
            <w:r w:rsidRPr="003F082E">
              <w:rPr>
                <w:color w:val="000000"/>
                <w:sz w:val="20"/>
                <w:szCs w:val="20"/>
              </w:rPr>
              <w:t>4367.5</w:t>
            </w:r>
          </w:p>
        </w:tc>
        <w:tc>
          <w:tcPr>
            <w:tcW w:w="1055" w:type="dxa"/>
            <w:vAlign w:val="bottom"/>
          </w:tcPr>
          <w:p w14:paraId="7A37289B" w14:textId="02D97AC0" w:rsidR="002815AA" w:rsidRDefault="002815AA" w:rsidP="00FF05A8">
            <w:pPr>
              <w:ind w:left="0"/>
              <w:jc w:val="right"/>
              <w:rPr>
                <w:i/>
              </w:rPr>
            </w:pPr>
            <w:r w:rsidRPr="003F082E">
              <w:rPr>
                <w:color w:val="000000"/>
                <w:sz w:val="20"/>
                <w:szCs w:val="20"/>
              </w:rPr>
              <w:t>5109</w:t>
            </w:r>
          </w:p>
        </w:tc>
        <w:tc>
          <w:tcPr>
            <w:tcW w:w="1012" w:type="dxa"/>
            <w:vAlign w:val="bottom"/>
          </w:tcPr>
          <w:p w14:paraId="311DBDA4" w14:textId="6C46D138" w:rsidR="002815AA" w:rsidRDefault="002815AA" w:rsidP="00FF05A8">
            <w:pPr>
              <w:ind w:left="0"/>
              <w:jc w:val="right"/>
              <w:rPr>
                <w:i/>
              </w:rPr>
            </w:pPr>
            <w:r w:rsidRPr="003F082E">
              <w:rPr>
                <w:color w:val="000000"/>
                <w:sz w:val="20"/>
                <w:szCs w:val="20"/>
              </w:rPr>
              <w:t>4156</w:t>
            </w:r>
          </w:p>
        </w:tc>
        <w:tc>
          <w:tcPr>
            <w:tcW w:w="1001" w:type="dxa"/>
            <w:vAlign w:val="bottom"/>
          </w:tcPr>
          <w:p w14:paraId="5D0115AB" w14:textId="73D53765" w:rsidR="002815AA" w:rsidRDefault="002815AA" w:rsidP="00FF05A8">
            <w:pPr>
              <w:ind w:left="0"/>
              <w:jc w:val="right"/>
              <w:rPr>
                <w:i/>
              </w:rPr>
            </w:pPr>
            <w:r w:rsidRPr="003F082E">
              <w:rPr>
                <w:color w:val="000000"/>
                <w:sz w:val="20"/>
                <w:szCs w:val="20"/>
              </w:rPr>
              <w:t>4963</w:t>
            </w:r>
          </w:p>
        </w:tc>
      </w:tr>
      <w:tr w:rsidR="00A92ED7" w14:paraId="773BED61" w14:textId="77777777" w:rsidTr="00A92ED7">
        <w:tc>
          <w:tcPr>
            <w:tcW w:w="1816" w:type="dxa"/>
          </w:tcPr>
          <w:p w14:paraId="2B5102FB" w14:textId="6EDC79B0" w:rsidR="002815AA" w:rsidRPr="00A92ED7" w:rsidRDefault="00E16029" w:rsidP="00E16029">
            <w:pPr>
              <w:ind w:left="0"/>
              <w:jc w:val="both"/>
              <w:rPr>
                <w:color w:val="000000"/>
                <w:sz w:val="20"/>
                <w:szCs w:val="20"/>
              </w:rPr>
            </w:pPr>
            <m:oMath>
              <m:sSub>
                <m:sSubPr>
                  <m:ctrlPr>
                    <w:rPr>
                      <w:rFonts w:ascii="Cambria Math" w:hAnsi="Cambria Math"/>
                    </w:rPr>
                  </m:ctrlPr>
                </m:sSubPr>
                <m:e>
                  <m:r>
                    <w:rPr>
                      <w:rFonts w:ascii="Cambria Math" w:hAnsi="Cambria Math"/>
                    </w:rPr>
                    <m:t>g</m:t>
                  </m:r>
                </m:e>
                <m:sub>
                  <m:r>
                    <w:rPr>
                      <w:rFonts w:ascii="Cambria Math" w:hAnsi="Cambria Math"/>
                    </w:rPr>
                    <m:t>SH</m:t>
                  </m:r>
                </m:sub>
              </m:sSub>
            </m:oMath>
            <w:r w:rsidRPr="00A92ED7">
              <w:rPr>
                <w:color w:val="000000"/>
                <w:sz w:val="20"/>
                <w:szCs w:val="20"/>
              </w:rPr>
              <w:t xml:space="preserve"> </w:t>
            </w:r>
            <w:r w:rsidR="002815AA" w:rsidRPr="00A92ED7">
              <w:rPr>
                <w:color w:val="000000"/>
                <w:sz w:val="20"/>
                <w:szCs w:val="20"/>
              </w:rPr>
              <w:t>(m/s)</w:t>
            </w:r>
          </w:p>
        </w:tc>
        <w:tc>
          <w:tcPr>
            <w:tcW w:w="991" w:type="dxa"/>
          </w:tcPr>
          <w:p w14:paraId="5DEC21A9" w14:textId="05DC3547" w:rsidR="002815AA" w:rsidRPr="00A92ED7" w:rsidRDefault="00F95D76" w:rsidP="00FF05A8">
            <w:pPr>
              <w:ind w:left="0"/>
              <w:jc w:val="right"/>
              <w:rPr>
                <w:color w:val="000000"/>
                <w:sz w:val="20"/>
                <w:szCs w:val="20"/>
              </w:rPr>
            </w:pPr>
            <w:r w:rsidRPr="00F95D76">
              <w:rPr>
                <w:color w:val="000000"/>
                <w:sz w:val="20"/>
                <w:szCs w:val="20"/>
              </w:rPr>
              <w:t>0.014264</w:t>
            </w:r>
          </w:p>
        </w:tc>
        <w:tc>
          <w:tcPr>
            <w:tcW w:w="991" w:type="dxa"/>
          </w:tcPr>
          <w:p w14:paraId="46D43F5D" w14:textId="10879F0B" w:rsidR="002815AA" w:rsidRPr="00A92ED7" w:rsidRDefault="00F95D76" w:rsidP="00FF05A8">
            <w:pPr>
              <w:ind w:left="0"/>
              <w:jc w:val="right"/>
              <w:rPr>
                <w:color w:val="000000"/>
                <w:sz w:val="20"/>
                <w:szCs w:val="20"/>
              </w:rPr>
            </w:pPr>
            <w:r w:rsidRPr="00F95D76">
              <w:rPr>
                <w:color w:val="000000"/>
                <w:sz w:val="20"/>
                <w:szCs w:val="20"/>
              </w:rPr>
              <w:t>0.013</w:t>
            </w:r>
          </w:p>
        </w:tc>
        <w:tc>
          <w:tcPr>
            <w:tcW w:w="994" w:type="dxa"/>
          </w:tcPr>
          <w:p w14:paraId="578FACFF" w14:textId="56B0D710" w:rsidR="002815AA" w:rsidRPr="00A92ED7" w:rsidRDefault="00F95D76" w:rsidP="00FF05A8">
            <w:pPr>
              <w:ind w:left="0"/>
              <w:jc w:val="right"/>
              <w:rPr>
                <w:color w:val="000000"/>
                <w:sz w:val="20"/>
                <w:szCs w:val="20"/>
              </w:rPr>
            </w:pPr>
            <w:r w:rsidRPr="00F95D76">
              <w:rPr>
                <w:color w:val="000000"/>
                <w:sz w:val="20"/>
                <w:szCs w:val="20"/>
              </w:rPr>
              <w:t>0.068</w:t>
            </w:r>
          </w:p>
        </w:tc>
        <w:tc>
          <w:tcPr>
            <w:tcW w:w="992" w:type="dxa"/>
          </w:tcPr>
          <w:p w14:paraId="3DECA727" w14:textId="4EBB5E5E" w:rsidR="002815AA" w:rsidRPr="00A92ED7" w:rsidRDefault="00F95D76" w:rsidP="00FF05A8">
            <w:pPr>
              <w:ind w:left="0"/>
              <w:jc w:val="right"/>
              <w:rPr>
                <w:color w:val="000000"/>
                <w:sz w:val="20"/>
                <w:szCs w:val="20"/>
              </w:rPr>
            </w:pPr>
            <w:r w:rsidRPr="00F95D76">
              <w:rPr>
                <w:color w:val="000000"/>
                <w:sz w:val="20"/>
                <w:szCs w:val="20"/>
              </w:rPr>
              <w:t>0.014</w:t>
            </w:r>
          </w:p>
        </w:tc>
        <w:tc>
          <w:tcPr>
            <w:tcW w:w="980" w:type="dxa"/>
          </w:tcPr>
          <w:p w14:paraId="3AD547F4" w14:textId="53DAE9BA" w:rsidR="002815AA" w:rsidRPr="00A92ED7" w:rsidRDefault="00F95D76" w:rsidP="00FF05A8">
            <w:pPr>
              <w:ind w:left="0"/>
              <w:jc w:val="right"/>
              <w:rPr>
                <w:color w:val="000000"/>
                <w:sz w:val="20"/>
                <w:szCs w:val="20"/>
              </w:rPr>
            </w:pPr>
            <w:r w:rsidRPr="00F95D76">
              <w:rPr>
                <w:color w:val="000000"/>
                <w:sz w:val="20"/>
                <w:szCs w:val="20"/>
              </w:rPr>
              <w:t>0.017</w:t>
            </w:r>
          </w:p>
        </w:tc>
        <w:tc>
          <w:tcPr>
            <w:tcW w:w="1044" w:type="dxa"/>
          </w:tcPr>
          <w:p w14:paraId="23362BBE" w14:textId="7B87BC7F" w:rsidR="002815AA" w:rsidRPr="00A92ED7" w:rsidRDefault="00F95D76" w:rsidP="00FF05A8">
            <w:pPr>
              <w:ind w:left="0"/>
              <w:jc w:val="right"/>
              <w:rPr>
                <w:color w:val="000000"/>
                <w:sz w:val="20"/>
                <w:szCs w:val="20"/>
              </w:rPr>
            </w:pPr>
            <w:r w:rsidRPr="00F95D76">
              <w:rPr>
                <w:color w:val="000000"/>
                <w:sz w:val="20"/>
                <w:szCs w:val="20"/>
              </w:rPr>
              <w:t>0.02</w:t>
            </w:r>
          </w:p>
        </w:tc>
        <w:tc>
          <w:tcPr>
            <w:tcW w:w="1047" w:type="dxa"/>
          </w:tcPr>
          <w:p w14:paraId="7038D22A" w14:textId="2472FB6C" w:rsidR="002815AA" w:rsidRPr="00A92ED7" w:rsidRDefault="00F95D76" w:rsidP="00FF05A8">
            <w:pPr>
              <w:ind w:left="0"/>
              <w:jc w:val="right"/>
              <w:rPr>
                <w:color w:val="000000"/>
                <w:sz w:val="20"/>
                <w:szCs w:val="20"/>
              </w:rPr>
            </w:pPr>
            <w:r w:rsidRPr="00F95D76">
              <w:rPr>
                <w:color w:val="000000"/>
                <w:sz w:val="20"/>
                <w:szCs w:val="20"/>
              </w:rPr>
              <w:t>0.02</w:t>
            </w:r>
          </w:p>
        </w:tc>
        <w:tc>
          <w:tcPr>
            <w:tcW w:w="1027" w:type="dxa"/>
          </w:tcPr>
          <w:p w14:paraId="4EE393A9" w14:textId="7312D193" w:rsidR="002815AA" w:rsidRPr="00A92ED7" w:rsidRDefault="00F95D76" w:rsidP="00FF05A8">
            <w:pPr>
              <w:ind w:left="0"/>
              <w:jc w:val="right"/>
              <w:rPr>
                <w:color w:val="000000"/>
                <w:sz w:val="20"/>
                <w:szCs w:val="20"/>
              </w:rPr>
            </w:pPr>
            <w:r w:rsidRPr="00F95D76">
              <w:rPr>
                <w:color w:val="000000"/>
                <w:sz w:val="20"/>
                <w:szCs w:val="20"/>
              </w:rPr>
              <w:t>0.027</w:t>
            </w:r>
          </w:p>
        </w:tc>
        <w:tc>
          <w:tcPr>
            <w:tcW w:w="1055" w:type="dxa"/>
          </w:tcPr>
          <w:p w14:paraId="0BA4A4B9" w14:textId="11DF063F" w:rsidR="002815AA" w:rsidRPr="00A92ED7" w:rsidRDefault="00F95D76" w:rsidP="00FF05A8">
            <w:pPr>
              <w:ind w:left="0"/>
              <w:jc w:val="right"/>
              <w:rPr>
                <w:color w:val="000000"/>
                <w:sz w:val="20"/>
                <w:szCs w:val="20"/>
              </w:rPr>
            </w:pPr>
            <w:r w:rsidRPr="00F95D76">
              <w:rPr>
                <w:color w:val="000000"/>
                <w:sz w:val="20"/>
                <w:szCs w:val="20"/>
              </w:rPr>
              <w:t>0.019</w:t>
            </w:r>
          </w:p>
        </w:tc>
        <w:tc>
          <w:tcPr>
            <w:tcW w:w="1012" w:type="dxa"/>
          </w:tcPr>
          <w:p w14:paraId="464FF704" w14:textId="4E85AC8F" w:rsidR="002815AA" w:rsidRPr="00A92ED7" w:rsidRDefault="00F95D76" w:rsidP="00FF05A8">
            <w:pPr>
              <w:ind w:left="0"/>
              <w:jc w:val="right"/>
              <w:rPr>
                <w:color w:val="000000"/>
                <w:sz w:val="20"/>
                <w:szCs w:val="20"/>
              </w:rPr>
            </w:pPr>
            <w:r w:rsidRPr="00F95D76">
              <w:rPr>
                <w:color w:val="000000"/>
                <w:sz w:val="20"/>
                <w:szCs w:val="20"/>
              </w:rPr>
              <w:t>0.039</w:t>
            </w:r>
          </w:p>
        </w:tc>
        <w:tc>
          <w:tcPr>
            <w:tcW w:w="1001" w:type="dxa"/>
          </w:tcPr>
          <w:p w14:paraId="04C43BEF" w14:textId="3FDD75B5" w:rsidR="002815AA" w:rsidRPr="00A92ED7" w:rsidRDefault="00F95D76" w:rsidP="00FF05A8">
            <w:pPr>
              <w:ind w:left="0"/>
              <w:jc w:val="right"/>
              <w:rPr>
                <w:color w:val="000000"/>
                <w:sz w:val="20"/>
                <w:szCs w:val="20"/>
              </w:rPr>
            </w:pPr>
            <w:r w:rsidRPr="00F95D76">
              <w:rPr>
                <w:color w:val="000000"/>
                <w:sz w:val="20"/>
                <w:szCs w:val="20"/>
              </w:rPr>
              <w:t>0.024</w:t>
            </w:r>
          </w:p>
        </w:tc>
      </w:tr>
      <w:tr w:rsidR="00F95D76" w14:paraId="1957BAF3" w14:textId="77777777" w:rsidTr="00A92ED7">
        <w:tc>
          <w:tcPr>
            <w:tcW w:w="1816" w:type="dxa"/>
          </w:tcPr>
          <w:p w14:paraId="510E8CDC" w14:textId="7F2574C4" w:rsidR="00F95D76" w:rsidRPr="00A92ED7" w:rsidRDefault="00E16029" w:rsidP="00E16029">
            <w:pPr>
              <w:ind w:left="0"/>
              <w:jc w:val="both"/>
              <w:rPr>
                <w:color w:val="000000"/>
                <w:sz w:val="20"/>
                <w:szCs w:val="20"/>
              </w:rPr>
            </w:pPr>
            <m:oMath>
              <m:sSub>
                <m:sSubPr>
                  <m:ctrlPr>
                    <w:rPr>
                      <w:rFonts w:ascii="Cambria Math" w:hAnsi="Cambria Math"/>
                    </w:rPr>
                  </m:ctrlPr>
                </m:sSubPr>
                <m:e>
                  <m:r>
                    <w:rPr>
                      <w:rFonts w:ascii="Cambria Math" w:hAnsi="Cambria Math"/>
                    </w:rPr>
                    <m:t>g</m:t>
                  </m:r>
                </m:e>
                <m:sub>
                  <m:r>
                    <w:rPr>
                      <w:rFonts w:ascii="Cambria Math" w:hAnsi="Cambria Math"/>
                    </w:rPr>
                    <m:t>WV</m:t>
                  </m:r>
                </m:sub>
              </m:sSub>
            </m:oMath>
            <w:r w:rsidRPr="00A92ED7">
              <w:rPr>
                <w:color w:val="000000"/>
                <w:sz w:val="20"/>
                <w:szCs w:val="20"/>
              </w:rPr>
              <w:t xml:space="preserve"> </w:t>
            </w:r>
            <w:r w:rsidR="00F95D76" w:rsidRPr="00A92ED7">
              <w:rPr>
                <w:color w:val="000000"/>
                <w:sz w:val="20"/>
                <w:szCs w:val="20"/>
              </w:rPr>
              <w:t>(m/s)</w:t>
            </w:r>
          </w:p>
        </w:tc>
        <w:tc>
          <w:tcPr>
            <w:tcW w:w="991" w:type="dxa"/>
          </w:tcPr>
          <w:p w14:paraId="363EC00B" w14:textId="175CAAAE" w:rsidR="00F95D76" w:rsidRPr="00A92ED7" w:rsidRDefault="00F95D76" w:rsidP="00FF05A8">
            <w:pPr>
              <w:ind w:left="0"/>
              <w:jc w:val="right"/>
              <w:rPr>
                <w:color w:val="000000"/>
                <w:sz w:val="20"/>
                <w:szCs w:val="20"/>
              </w:rPr>
            </w:pPr>
            <w:r w:rsidRPr="00F95D76">
              <w:rPr>
                <w:color w:val="000000"/>
                <w:sz w:val="20"/>
                <w:szCs w:val="20"/>
              </w:rPr>
              <w:t>0.014264</w:t>
            </w:r>
          </w:p>
        </w:tc>
        <w:tc>
          <w:tcPr>
            <w:tcW w:w="991" w:type="dxa"/>
          </w:tcPr>
          <w:p w14:paraId="205A43F5" w14:textId="76870107" w:rsidR="00F95D76" w:rsidRPr="00A92ED7" w:rsidRDefault="00F95D76" w:rsidP="00FF05A8">
            <w:pPr>
              <w:ind w:left="0"/>
              <w:jc w:val="right"/>
              <w:rPr>
                <w:color w:val="000000"/>
                <w:sz w:val="20"/>
                <w:szCs w:val="20"/>
              </w:rPr>
            </w:pPr>
            <w:r w:rsidRPr="00F95D76">
              <w:rPr>
                <w:color w:val="000000"/>
                <w:sz w:val="20"/>
                <w:szCs w:val="20"/>
              </w:rPr>
              <w:t>0.013</w:t>
            </w:r>
          </w:p>
        </w:tc>
        <w:tc>
          <w:tcPr>
            <w:tcW w:w="994" w:type="dxa"/>
          </w:tcPr>
          <w:p w14:paraId="41EDDF4D" w14:textId="5D14846B" w:rsidR="00F95D76" w:rsidRPr="00A92ED7" w:rsidRDefault="00F95D76" w:rsidP="00FF05A8">
            <w:pPr>
              <w:ind w:left="0"/>
              <w:jc w:val="right"/>
              <w:rPr>
                <w:color w:val="000000"/>
                <w:sz w:val="20"/>
                <w:szCs w:val="20"/>
              </w:rPr>
            </w:pPr>
            <w:r w:rsidRPr="00F95D76">
              <w:rPr>
                <w:color w:val="000000"/>
                <w:sz w:val="20"/>
                <w:szCs w:val="20"/>
              </w:rPr>
              <w:t>0.032</w:t>
            </w:r>
          </w:p>
        </w:tc>
        <w:tc>
          <w:tcPr>
            <w:tcW w:w="992" w:type="dxa"/>
          </w:tcPr>
          <w:p w14:paraId="5D9C69E2" w14:textId="4B962364" w:rsidR="00F95D76" w:rsidRPr="00A92ED7" w:rsidRDefault="00F95D76" w:rsidP="00FF05A8">
            <w:pPr>
              <w:ind w:left="0"/>
              <w:jc w:val="right"/>
              <w:rPr>
                <w:color w:val="000000"/>
                <w:sz w:val="20"/>
                <w:szCs w:val="20"/>
              </w:rPr>
            </w:pPr>
            <w:r w:rsidRPr="00F95D76">
              <w:rPr>
                <w:color w:val="000000"/>
                <w:sz w:val="20"/>
                <w:szCs w:val="20"/>
              </w:rPr>
              <w:t>0.014</w:t>
            </w:r>
          </w:p>
        </w:tc>
        <w:tc>
          <w:tcPr>
            <w:tcW w:w="980" w:type="dxa"/>
          </w:tcPr>
          <w:p w14:paraId="5496E5EE" w14:textId="2A6B0ECD" w:rsidR="00F95D76" w:rsidRPr="00A92ED7" w:rsidRDefault="00F95D76" w:rsidP="00FF05A8">
            <w:pPr>
              <w:ind w:left="0"/>
              <w:jc w:val="right"/>
              <w:rPr>
                <w:color w:val="000000"/>
                <w:sz w:val="20"/>
                <w:szCs w:val="20"/>
              </w:rPr>
            </w:pPr>
            <w:r w:rsidRPr="00F95D76">
              <w:rPr>
                <w:color w:val="000000"/>
                <w:sz w:val="20"/>
                <w:szCs w:val="20"/>
              </w:rPr>
              <w:t>0.02</w:t>
            </w:r>
          </w:p>
        </w:tc>
        <w:tc>
          <w:tcPr>
            <w:tcW w:w="1044" w:type="dxa"/>
          </w:tcPr>
          <w:p w14:paraId="3BFFCBB4" w14:textId="09C7ACA8" w:rsidR="00F95D76" w:rsidRPr="00A92ED7" w:rsidRDefault="00F95D76" w:rsidP="00FF05A8">
            <w:pPr>
              <w:ind w:left="0"/>
              <w:jc w:val="right"/>
              <w:rPr>
                <w:color w:val="000000"/>
                <w:sz w:val="20"/>
                <w:szCs w:val="20"/>
              </w:rPr>
            </w:pPr>
            <w:r w:rsidRPr="00F95D76">
              <w:rPr>
                <w:color w:val="000000"/>
                <w:sz w:val="20"/>
                <w:szCs w:val="20"/>
              </w:rPr>
              <w:t>0.02</w:t>
            </w:r>
          </w:p>
        </w:tc>
        <w:tc>
          <w:tcPr>
            <w:tcW w:w="1047" w:type="dxa"/>
          </w:tcPr>
          <w:p w14:paraId="5F3695F9" w14:textId="6A74D2AA" w:rsidR="00F95D76" w:rsidRPr="00A92ED7" w:rsidRDefault="00F95D76" w:rsidP="00FF05A8">
            <w:pPr>
              <w:ind w:left="0"/>
              <w:jc w:val="right"/>
              <w:rPr>
                <w:color w:val="000000"/>
                <w:sz w:val="20"/>
                <w:szCs w:val="20"/>
              </w:rPr>
            </w:pPr>
            <w:r w:rsidRPr="00F95D76">
              <w:rPr>
                <w:color w:val="000000"/>
                <w:sz w:val="20"/>
                <w:szCs w:val="20"/>
              </w:rPr>
              <w:t>0.02</w:t>
            </w:r>
          </w:p>
        </w:tc>
        <w:tc>
          <w:tcPr>
            <w:tcW w:w="1027" w:type="dxa"/>
          </w:tcPr>
          <w:p w14:paraId="4C246CA4" w14:textId="1C82915A" w:rsidR="00F95D76" w:rsidRPr="00A92ED7" w:rsidRDefault="00F95D76" w:rsidP="00FF05A8">
            <w:pPr>
              <w:ind w:left="0"/>
              <w:jc w:val="right"/>
              <w:rPr>
                <w:color w:val="000000"/>
                <w:sz w:val="20"/>
                <w:szCs w:val="20"/>
              </w:rPr>
            </w:pPr>
            <w:r w:rsidRPr="00F95D76">
              <w:rPr>
                <w:color w:val="000000"/>
                <w:sz w:val="20"/>
                <w:szCs w:val="20"/>
              </w:rPr>
              <w:t>0.023</w:t>
            </w:r>
          </w:p>
        </w:tc>
        <w:tc>
          <w:tcPr>
            <w:tcW w:w="1055" w:type="dxa"/>
          </w:tcPr>
          <w:p w14:paraId="2C689ABC" w14:textId="590C2AB4" w:rsidR="00F95D76" w:rsidRPr="00A92ED7" w:rsidRDefault="00F95D76" w:rsidP="00FF05A8">
            <w:pPr>
              <w:ind w:left="0"/>
              <w:jc w:val="right"/>
              <w:rPr>
                <w:color w:val="000000"/>
                <w:sz w:val="20"/>
                <w:szCs w:val="20"/>
              </w:rPr>
            </w:pPr>
            <w:r w:rsidRPr="00F95D76">
              <w:rPr>
                <w:color w:val="000000"/>
                <w:sz w:val="20"/>
                <w:szCs w:val="20"/>
              </w:rPr>
              <w:t>0.038</w:t>
            </w:r>
          </w:p>
        </w:tc>
        <w:tc>
          <w:tcPr>
            <w:tcW w:w="1012" w:type="dxa"/>
          </w:tcPr>
          <w:p w14:paraId="4404D8E4" w14:textId="3F65275D" w:rsidR="00F95D76" w:rsidRPr="00A92ED7" w:rsidRDefault="00F95D76" w:rsidP="00FF05A8">
            <w:pPr>
              <w:ind w:left="0"/>
              <w:jc w:val="right"/>
              <w:rPr>
                <w:color w:val="000000"/>
                <w:sz w:val="20"/>
                <w:szCs w:val="20"/>
              </w:rPr>
            </w:pPr>
            <w:r w:rsidRPr="00F95D76">
              <w:rPr>
                <w:color w:val="000000"/>
                <w:sz w:val="20"/>
                <w:szCs w:val="20"/>
              </w:rPr>
              <w:t>0.039</w:t>
            </w:r>
          </w:p>
        </w:tc>
        <w:tc>
          <w:tcPr>
            <w:tcW w:w="1001" w:type="dxa"/>
          </w:tcPr>
          <w:p w14:paraId="09017E52" w14:textId="503199A0" w:rsidR="00F95D76" w:rsidRPr="00A92ED7" w:rsidRDefault="00F95D76" w:rsidP="00FF05A8">
            <w:pPr>
              <w:ind w:left="0"/>
              <w:jc w:val="right"/>
              <w:rPr>
                <w:color w:val="000000"/>
                <w:sz w:val="20"/>
                <w:szCs w:val="20"/>
              </w:rPr>
            </w:pPr>
            <w:r w:rsidRPr="00F95D76">
              <w:rPr>
                <w:color w:val="000000"/>
                <w:sz w:val="20"/>
                <w:szCs w:val="20"/>
              </w:rPr>
              <w:t>0.024</w:t>
            </w:r>
          </w:p>
        </w:tc>
      </w:tr>
      <w:tr w:rsidR="00F95D76" w14:paraId="05C918E6" w14:textId="77777777" w:rsidTr="00A92ED7">
        <w:tc>
          <w:tcPr>
            <w:tcW w:w="1816" w:type="dxa"/>
          </w:tcPr>
          <w:p w14:paraId="55ABC7BB" w14:textId="0B456B30" w:rsidR="00F95D76" w:rsidRPr="00A92ED7" w:rsidRDefault="00E16029" w:rsidP="00E16029">
            <w:pPr>
              <w:ind w:left="0"/>
              <w:jc w:val="both"/>
              <w:rPr>
                <w:color w:val="000000"/>
                <w:sz w:val="20"/>
                <w:szCs w:val="20"/>
              </w:rPr>
            </w:pPr>
            <m:oMath>
              <m:sSub>
                <m:sSubPr>
                  <m:ctrlPr>
                    <w:rPr>
                      <w:rFonts w:ascii="Cambria Math" w:hAnsi="Cambria Math"/>
                    </w:rPr>
                  </m:ctrlPr>
                </m:sSubPr>
                <m:e>
                  <m:r>
                    <w:rPr>
                      <w:rFonts w:ascii="Cambria Math" w:hAnsi="Cambria Math"/>
                    </w:rPr>
                    <m:t>g</m:t>
                  </m:r>
                </m:e>
                <m:sub>
                  <m:r>
                    <m:rPr>
                      <m:lit/>
                      <m:nor/>
                    </m:rPr>
                    <w:rPr>
                      <w:rFonts w:ascii="Cambria Math" w:hAnsi="Cambria Math"/>
                    </w:rPr>
                    <m:t>cuticular</m:t>
                  </m:r>
                </m:sub>
              </m:sSub>
            </m:oMath>
            <w:r w:rsidRPr="00A92ED7">
              <w:rPr>
                <w:color w:val="000000"/>
                <w:sz w:val="20"/>
                <w:szCs w:val="20"/>
              </w:rPr>
              <w:t xml:space="preserve"> </w:t>
            </w:r>
            <w:r w:rsidR="00F95D76" w:rsidRPr="00A92ED7">
              <w:rPr>
                <w:color w:val="000000"/>
                <w:sz w:val="20"/>
                <w:szCs w:val="20"/>
              </w:rPr>
              <w:t>(m/s)</w:t>
            </w:r>
          </w:p>
        </w:tc>
        <w:tc>
          <w:tcPr>
            <w:tcW w:w="991" w:type="dxa"/>
          </w:tcPr>
          <w:p w14:paraId="3A1A2767" w14:textId="1F82B0E9" w:rsidR="00F95D76" w:rsidRPr="00A92ED7" w:rsidRDefault="00F95D76" w:rsidP="00FF05A8">
            <w:pPr>
              <w:ind w:left="0"/>
              <w:jc w:val="right"/>
              <w:rPr>
                <w:color w:val="000000"/>
                <w:sz w:val="20"/>
                <w:szCs w:val="20"/>
              </w:rPr>
            </w:pPr>
            <w:r w:rsidRPr="00F95D76">
              <w:rPr>
                <w:color w:val="000000"/>
                <w:sz w:val="20"/>
                <w:szCs w:val="20"/>
              </w:rPr>
              <w:t>7e-05</w:t>
            </w:r>
          </w:p>
        </w:tc>
        <w:tc>
          <w:tcPr>
            <w:tcW w:w="991" w:type="dxa"/>
          </w:tcPr>
          <w:p w14:paraId="1866656D" w14:textId="2A8760B2" w:rsidR="00F95D76" w:rsidRPr="00A92ED7" w:rsidRDefault="00F95D76" w:rsidP="00FF05A8">
            <w:pPr>
              <w:ind w:left="0"/>
              <w:jc w:val="right"/>
              <w:rPr>
                <w:color w:val="000000"/>
                <w:sz w:val="20"/>
                <w:szCs w:val="20"/>
              </w:rPr>
            </w:pPr>
            <w:r w:rsidRPr="00F95D76">
              <w:rPr>
                <w:color w:val="000000"/>
                <w:sz w:val="20"/>
                <w:szCs w:val="20"/>
              </w:rPr>
              <w:t>5e-05</w:t>
            </w:r>
          </w:p>
        </w:tc>
        <w:tc>
          <w:tcPr>
            <w:tcW w:w="994" w:type="dxa"/>
          </w:tcPr>
          <w:p w14:paraId="2B4DB342" w14:textId="37536F65" w:rsidR="00F95D76" w:rsidRPr="00A92ED7" w:rsidRDefault="00F95D76" w:rsidP="00FF05A8">
            <w:pPr>
              <w:ind w:left="0"/>
              <w:jc w:val="right"/>
              <w:rPr>
                <w:color w:val="000000"/>
                <w:sz w:val="20"/>
                <w:szCs w:val="20"/>
              </w:rPr>
            </w:pPr>
            <w:r w:rsidRPr="00F95D76">
              <w:rPr>
                <w:color w:val="000000"/>
                <w:sz w:val="20"/>
                <w:szCs w:val="20"/>
              </w:rPr>
              <w:t>7e-05</w:t>
            </w:r>
          </w:p>
        </w:tc>
        <w:tc>
          <w:tcPr>
            <w:tcW w:w="992" w:type="dxa"/>
          </w:tcPr>
          <w:p w14:paraId="5EE2A857" w14:textId="00B52C27" w:rsidR="00F95D76" w:rsidRPr="00A92ED7" w:rsidRDefault="00F95D76" w:rsidP="00FF05A8">
            <w:pPr>
              <w:ind w:left="0"/>
              <w:jc w:val="right"/>
              <w:rPr>
                <w:color w:val="000000"/>
                <w:sz w:val="20"/>
                <w:szCs w:val="20"/>
              </w:rPr>
            </w:pPr>
            <w:r w:rsidRPr="00F95D76">
              <w:rPr>
                <w:color w:val="000000"/>
                <w:sz w:val="20"/>
                <w:szCs w:val="20"/>
              </w:rPr>
              <w:t>6e-0</w:t>
            </w:r>
            <w:r>
              <w:rPr>
                <w:color w:val="000000"/>
                <w:sz w:val="20"/>
                <w:szCs w:val="20"/>
              </w:rPr>
              <w:t>5</w:t>
            </w:r>
          </w:p>
        </w:tc>
        <w:tc>
          <w:tcPr>
            <w:tcW w:w="980" w:type="dxa"/>
          </w:tcPr>
          <w:p w14:paraId="386108BE" w14:textId="28824470" w:rsidR="00F95D76" w:rsidRPr="00A92ED7" w:rsidRDefault="00F95D76" w:rsidP="00FF05A8">
            <w:pPr>
              <w:ind w:left="0"/>
              <w:jc w:val="right"/>
              <w:rPr>
                <w:color w:val="000000"/>
                <w:sz w:val="20"/>
                <w:szCs w:val="20"/>
              </w:rPr>
            </w:pPr>
            <w:r w:rsidRPr="00F95D76">
              <w:rPr>
                <w:color w:val="000000"/>
                <w:sz w:val="20"/>
                <w:szCs w:val="20"/>
              </w:rPr>
              <w:t>6e-05</w:t>
            </w:r>
          </w:p>
        </w:tc>
        <w:tc>
          <w:tcPr>
            <w:tcW w:w="1044" w:type="dxa"/>
          </w:tcPr>
          <w:p w14:paraId="7D993384" w14:textId="1D90F46E" w:rsidR="00F95D76" w:rsidRPr="00A92ED7" w:rsidRDefault="00F95D76" w:rsidP="00FF05A8">
            <w:pPr>
              <w:ind w:left="0"/>
              <w:jc w:val="right"/>
              <w:rPr>
                <w:color w:val="000000"/>
                <w:sz w:val="20"/>
                <w:szCs w:val="20"/>
              </w:rPr>
            </w:pPr>
            <w:r w:rsidRPr="00F95D76">
              <w:rPr>
                <w:color w:val="000000"/>
                <w:sz w:val="20"/>
                <w:szCs w:val="20"/>
              </w:rPr>
              <w:t>5e-05</w:t>
            </w:r>
          </w:p>
        </w:tc>
        <w:tc>
          <w:tcPr>
            <w:tcW w:w="1047" w:type="dxa"/>
          </w:tcPr>
          <w:p w14:paraId="795A4EA1" w14:textId="1A8D50CC" w:rsidR="00F95D76" w:rsidRPr="00A92ED7" w:rsidRDefault="00F95D76" w:rsidP="00FF05A8">
            <w:pPr>
              <w:ind w:left="0"/>
              <w:jc w:val="right"/>
              <w:rPr>
                <w:color w:val="000000"/>
                <w:sz w:val="20"/>
                <w:szCs w:val="20"/>
              </w:rPr>
            </w:pPr>
            <w:r w:rsidRPr="00F95D76">
              <w:rPr>
                <w:color w:val="000000"/>
                <w:sz w:val="20"/>
                <w:szCs w:val="20"/>
              </w:rPr>
              <w:t>5e-05</w:t>
            </w:r>
          </w:p>
        </w:tc>
        <w:tc>
          <w:tcPr>
            <w:tcW w:w="1027" w:type="dxa"/>
          </w:tcPr>
          <w:p w14:paraId="1887641C" w14:textId="2CAF88CC" w:rsidR="00F95D76" w:rsidRPr="00A92ED7" w:rsidRDefault="00F95D76" w:rsidP="00FF05A8">
            <w:pPr>
              <w:ind w:left="0"/>
              <w:jc w:val="right"/>
              <w:rPr>
                <w:color w:val="000000"/>
                <w:sz w:val="20"/>
                <w:szCs w:val="20"/>
              </w:rPr>
            </w:pPr>
            <w:r w:rsidRPr="00F95D76">
              <w:rPr>
                <w:color w:val="000000"/>
                <w:sz w:val="20"/>
                <w:szCs w:val="20"/>
              </w:rPr>
              <w:t>0.0002</w:t>
            </w:r>
          </w:p>
        </w:tc>
        <w:tc>
          <w:tcPr>
            <w:tcW w:w="1055" w:type="dxa"/>
          </w:tcPr>
          <w:p w14:paraId="1D18561F" w14:textId="29D6AB84" w:rsidR="00F95D76" w:rsidRPr="00A92ED7" w:rsidRDefault="00F95D76" w:rsidP="00FF05A8">
            <w:pPr>
              <w:ind w:left="0"/>
              <w:jc w:val="right"/>
              <w:rPr>
                <w:color w:val="000000"/>
                <w:sz w:val="20"/>
                <w:szCs w:val="20"/>
              </w:rPr>
            </w:pPr>
            <w:r w:rsidRPr="00F95D76">
              <w:rPr>
                <w:color w:val="000000"/>
                <w:sz w:val="20"/>
                <w:szCs w:val="20"/>
              </w:rPr>
              <w:t>0.00012</w:t>
            </w:r>
          </w:p>
        </w:tc>
        <w:tc>
          <w:tcPr>
            <w:tcW w:w="1012" w:type="dxa"/>
          </w:tcPr>
          <w:p w14:paraId="49ACB5D5" w14:textId="50225CC9" w:rsidR="00F95D76" w:rsidRPr="00A92ED7" w:rsidRDefault="00F95D76" w:rsidP="00FF05A8">
            <w:pPr>
              <w:ind w:left="0"/>
              <w:jc w:val="right"/>
              <w:rPr>
                <w:color w:val="000000"/>
                <w:sz w:val="20"/>
                <w:szCs w:val="20"/>
              </w:rPr>
            </w:pPr>
            <w:r w:rsidRPr="00F95D76">
              <w:rPr>
                <w:color w:val="000000"/>
                <w:sz w:val="20"/>
                <w:szCs w:val="20"/>
              </w:rPr>
              <w:t>0.00023</w:t>
            </w:r>
          </w:p>
        </w:tc>
        <w:tc>
          <w:tcPr>
            <w:tcW w:w="1001" w:type="dxa"/>
          </w:tcPr>
          <w:p w14:paraId="01C88CAA" w14:textId="77703061" w:rsidR="00F95D76" w:rsidRPr="00A92ED7" w:rsidRDefault="00104116" w:rsidP="00FF05A8">
            <w:pPr>
              <w:ind w:left="0"/>
              <w:jc w:val="right"/>
              <w:rPr>
                <w:color w:val="000000"/>
                <w:sz w:val="20"/>
                <w:szCs w:val="20"/>
              </w:rPr>
            </w:pPr>
            <w:r w:rsidRPr="00104116">
              <w:rPr>
                <w:color w:val="000000"/>
                <w:sz w:val="20"/>
                <w:szCs w:val="20"/>
              </w:rPr>
              <w:t>0.00016</w:t>
            </w:r>
          </w:p>
        </w:tc>
      </w:tr>
      <w:tr w:rsidR="00F95D76" w14:paraId="06B056C0" w14:textId="77777777" w:rsidTr="00A92ED7">
        <w:tc>
          <w:tcPr>
            <w:tcW w:w="1816" w:type="dxa"/>
          </w:tcPr>
          <w:p w14:paraId="0ECCD972" w14:textId="47595BCF" w:rsidR="00F95D76" w:rsidRPr="00A92ED7" w:rsidRDefault="00E16029" w:rsidP="00E16029">
            <w:pPr>
              <w:ind w:left="0"/>
              <w:jc w:val="both"/>
              <w:rPr>
                <w:color w:val="000000"/>
                <w:sz w:val="20"/>
                <w:szCs w:val="20"/>
              </w:rPr>
            </w:pPr>
            <m:oMath>
              <m:sSub>
                <m:sSubPr>
                  <m:ctrlPr>
                    <w:rPr>
                      <w:rFonts w:ascii="Cambria Math" w:hAnsi="Cambria Math"/>
                    </w:rPr>
                  </m:ctrlPr>
                </m:sSubPr>
                <m:e>
                  <m:r>
                    <w:rPr>
                      <w:rFonts w:ascii="Cambria Math" w:hAnsi="Cambria Math"/>
                    </w:rPr>
                    <m:t>C</m:t>
                  </m:r>
                </m:e>
                <m:sub>
                  <m:r>
                    <w:rPr>
                      <w:rFonts w:ascii="Cambria Math" w:hAnsi="Cambria Math"/>
                    </w:rPr>
                    <m:t>L</m:t>
                  </m:r>
                </m:sub>
              </m:sSub>
            </m:oMath>
            <w:r w:rsidRPr="00A92ED7">
              <w:rPr>
                <w:color w:val="000000"/>
                <w:sz w:val="20"/>
                <w:szCs w:val="20"/>
              </w:rPr>
              <w:t xml:space="preserve"> </w:t>
            </w:r>
            <w:r w:rsidR="00F95D76" w:rsidRPr="00A92ED7">
              <w:rPr>
                <w:color w:val="000000"/>
                <w:sz w:val="20"/>
                <w:szCs w:val="20"/>
              </w:rPr>
              <w:t>(m/s)</w:t>
            </w:r>
          </w:p>
        </w:tc>
        <w:tc>
          <w:tcPr>
            <w:tcW w:w="991" w:type="dxa"/>
          </w:tcPr>
          <w:p w14:paraId="63BEA321" w14:textId="178C05E4" w:rsidR="00F95D76" w:rsidRPr="00A92ED7" w:rsidRDefault="00104116" w:rsidP="00FF05A8">
            <w:pPr>
              <w:ind w:left="0"/>
              <w:jc w:val="right"/>
              <w:rPr>
                <w:color w:val="000000"/>
                <w:sz w:val="20"/>
                <w:szCs w:val="20"/>
              </w:rPr>
            </w:pPr>
            <w:r w:rsidRPr="00104116">
              <w:rPr>
                <w:color w:val="000000"/>
                <w:sz w:val="20"/>
                <w:szCs w:val="20"/>
              </w:rPr>
              <w:t>0.00408677</w:t>
            </w:r>
          </w:p>
        </w:tc>
        <w:tc>
          <w:tcPr>
            <w:tcW w:w="991" w:type="dxa"/>
          </w:tcPr>
          <w:p w14:paraId="23850E76" w14:textId="7C25587F" w:rsidR="00F95D76" w:rsidRPr="00A92ED7" w:rsidRDefault="00104116" w:rsidP="00FF05A8">
            <w:pPr>
              <w:ind w:left="0"/>
              <w:jc w:val="right"/>
              <w:rPr>
                <w:color w:val="000000"/>
                <w:sz w:val="20"/>
                <w:szCs w:val="20"/>
              </w:rPr>
            </w:pPr>
            <w:r w:rsidRPr="00104116">
              <w:rPr>
                <w:color w:val="000000"/>
                <w:sz w:val="20"/>
                <w:szCs w:val="20"/>
              </w:rPr>
              <w:t>0.0021</w:t>
            </w:r>
          </w:p>
        </w:tc>
        <w:tc>
          <w:tcPr>
            <w:tcW w:w="994" w:type="dxa"/>
          </w:tcPr>
          <w:p w14:paraId="42889497" w14:textId="2D0DF40C" w:rsidR="00F95D76" w:rsidRPr="00A92ED7" w:rsidRDefault="00104116" w:rsidP="00FF05A8">
            <w:pPr>
              <w:ind w:left="0"/>
              <w:jc w:val="right"/>
              <w:rPr>
                <w:color w:val="000000"/>
                <w:sz w:val="20"/>
                <w:szCs w:val="20"/>
              </w:rPr>
            </w:pPr>
            <w:r w:rsidRPr="00104116">
              <w:rPr>
                <w:color w:val="000000"/>
                <w:sz w:val="20"/>
                <w:szCs w:val="20"/>
              </w:rPr>
              <w:t>0.0078</w:t>
            </w:r>
          </w:p>
        </w:tc>
        <w:tc>
          <w:tcPr>
            <w:tcW w:w="992" w:type="dxa"/>
          </w:tcPr>
          <w:p w14:paraId="0CB948E3" w14:textId="657374BB" w:rsidR="00F95D76" w:rsidRPr="00A92ED7" w:rsidRDefault="00104116" w:rsidP="00FF05A8">
            <w:pPr>
              <w:ind w:left="0"/>
              <w:jc w:val="right"/>
              <w:rPr>
                <w:color w:val="000000"/>
                <w:sz w:val="20"/>
                <w:szCs w:val="20"/>
              </w:rPr>
            </w:pPr>
            <w:r w:rsidRPr="00104116">
              <w:rPr>
                <w:color w:val="000000"/>
                <w:sz w:val="20"/>
                <w:szCs w:val="20"/>
              </w:rPr>
              <w:t>0.0063</w:t>
            </w:r>
          </w:p>
        </w:tc>
        <w:tc>
          <w:tcPr>
            <w:tcW w:w="980" w:type="dxa"/>
          </w:tcPr>
          <w:p w14:paraId="3B2DF2C0" w14:textId="0B011CB4" w:rsidR="00F95D76" w:rsidRPr="00A92ED7" w:rsidRDefault="00104116" w:rsidP="00FF05A8">
            <w:pPr>
              <w:ind w:left="0"/>
              <w:jc w:val="right"/>
              <w:rPr>
                <w:color w:val="000000"/>
                <w:sz w:val="20"/>
                <w:szCs w:val="20"/>
              </w:rPr>
            </w:pPr>
            <w:r w:rsidRPr="00104116">
              <w:rPr>
                <w:color w:val="000000"/>
                <w:sz w:val="20"/>
                <w:szCs w:val="20"/>
              </w:rPr>
              <w:t>0.0071</w:t>
            </w:r>
          </w:p>
        </w:tc>
        <w:tc>
          <w:tcPr>
            <w:tcW w:w="1044" w:type="dxa"/>
          </w:tcPr>
          <w:p w14:paraId="6CC671C2" w14:textId="76669BD3" w:rsidR="00F95D76" w:rsidRPr="00A92ED7" w:rsidRDefault="00104116" w:rsidP="00FF05A8">
            <w:pPr>
              <w:ind w:left="0"/>
              <w:jc w:val="right"/>
              <w:rPr>
                <w:color w:val="000000"/>
                <w:sz w:val="20"/>
                <w:szCs w:val="20"/>
              </w:rPr>
            </w:pPr>
            <w:r w:rsidRPr="00104116">
              <w:rPr>
                <w:color w:val="000000"/>
                <w:sz w:val="20"/>
                <w:szCs w:val="20"/>
              </w:rPr>
              <w:t>0.0137049</w:t>
            </w:r>
          </w:p>
        </w:tc>
        <w:tc>
          <w:tcPr>
            <w:tcW w:w="1047" w:type="dxa"/>
          </w:tcPr>
          <w:p w14:paraId="140720A8" w14:textId="1EFEBB8B" w:rsidR="00F95D76" w:rsidRPr="00A92ED7" w:rsidRDefault="00104116" w:rsidP="00FF05A8">
            <w:pPr>
              <w:ind w:left="0"/>
              <w:jc w:val="right"/>
              <w:rPr>
                <w:color w:val="000000"/>
                <w:sz w:val="20"/>
                <w:szCs w:val="20"/>
              </w:rPr>
            </w:pPr>
            <w:r w:rsidRPr="00104116">
              <w:rPr>
                <w:color w:val="000000"/>
                <w:sz w:val="20"/>
                <w:szCs w:val="20"/>
              </w:rPr>
              <w:t>0.0162</w:t>
            </w:r>
          </w:p>
        </w:tc>
        <w:tc>
          <w:tcPr>
            <w:tcW w:w="1027" w:type="dxa"/>
          </w:tcPr>
          <w:p w14:paraId="707C8633" w14:textId="5226B3FE" w:rsidR="00F95D76" w:rsidRPr="00A92ED7" w:rsidRDefault="00104116" w:rsidP="00FF05A8">
            <w:pPr>
              <w:ind w:left="0"/>
              <w:jc w:val="right"/>
              <w:rPr>
                <w:color w:val="000000"/>
                <w:sz w:val="20"/>
                <w:szCs w:val="20"/>
              </w:rPr>
            </w:pPr>
            <w:r w:rsidRPr="00104116">
              <w:rPr>
                <w:color w:val="000000"/>
                <w:sz w:val="20"/>
                <w:szCs w:val="20"/>
              </w:rPr>
              <w:t>0.0104</w:t>
            </w:r>
          </w:p>
        </w:tc>
        <w:tc>
          <w:tcPr>
            <w:tcW w:w="1055" w:type="dxa"/>
          </w:tcPr>
          <w:p w14:paraId="74354311" w14:textId="2D5CA79B" w:rsidR="00F95D76" w:rsidRPr="00A92ED7" w:rsidRDefault="00104116" w:rsidP="00FF05A8">
            <w:pPr>
              <w:ind w:left="0"/>
              <w:jc w:val="right"/>
              <w:rPr>
                <w:color w:val="000000"/>
                <w:sz w:val="20"/>
                <w:szCs w:val="20"/>
              </w:rPr>
            </w:pPr>
            <w:r w:rsidRPr="00104116">
              <w:rPr>
                <w:color w:val="000000"/>
                <w:sz w:val="20"/>
                <w:szCs w:val="20"/>
              </w:rPr>
              <w:t>0.009</w:t>
            </w:r>
          </w:p>
        </w:tc>
        <w:tc>
          <w:tcPr>
            <w:tcW w:w="1012" w:type="dxa"/>
          </w:tcPr>
          <w:p w14:paraId="3A5ADCA3" w14:textId="45694B6D" w:rsidR="00F95D76" w:rsidRPr="00A92ED7" w:rsidRDefault="00104116" w:rsidP="00FF05A8">
            <w:pPr>
              <w:ind w:left="0"/>
              <w:jc w:val="right"/>
              <w:rPr>
                <w:color w:val="000000"/>
                <w:sz w:val="20"/>
                <w:szCs w:val="20"/>
              </w:rPr>
            </w:pPr>
            <w:r w:rsidRPr="00104116">
              <w:rPr>
                <w:color w:val="000000"/>
                <w:sz w:val="20"/>
                <w:szCs w:val="20"/>
              </w:rPr>
              <w:t>0.0115</w:t>
            </w:r>
          </w:p>
        </w:tc>
        <w:tc>
          <w:tcPr>
            <w:tcW w:w="1001" w:type="dxa"/>
          </w:tcPr>
          <w:p w14:paraId="4ACF1DA0" w14:textId="24817B5E" w:rsidR="00F95D76" w:rsidRPr="00A92ED7" w:rsidRDefault="00104116" w:rsidP="00FF05A8">
            <w:pPr>
              <w:ind w:left="0"/>
              <w:jc w:val="right"/>
              <w:rPr>
                <w:color w:val="000000"/>
                <w:sz w:val="20"/>
                <w:szCs w:val="20"/>
              </w:rPr>
            </w:pPr>
            <w:r w:rsidRPr="00104116">
              <w:rPr>
                <w:color w:val="000000"/>
                <w:sz w:val="20"/>
                <w:szCs w:val="20"/>
              </w:rPr>
              <w:t>0.0157</w:t>
            </w:r>
          </w:p>
        </w:tc>
      </w:tr>
      <w:tr w:rsidR="00F95D76" w14:paraId="56332216" w14:textId="77777777" w:rsidTr="00A92ED7">
        <w:tc>
          <w:tcPr>
            <w:tcW w:w="1816" w:type="dxa"/>
          </w:tcPr>
          <w:p w14:paraId="35FCAC23" w14:textId="7F7655DB" w:rsidR="00F95D76" w:rsidRPr="00A92ED7" w:rsidRDefault="00E16029" w:rsidP="00E16029">
            <w:pPr>
              <w:ind w:left="0"/>
              <w:jc w:val="both"/>
              <w:rPr>
                <w:color w:val="000000"/>
                <w:sz w:val="20"/>
                <w:szCs w:val="20"/>
              </w:rPr>
            </w:pPr>
            <m:oMath>
              <m:sSub>
                <m:sSubPr>
                  <m:ctrlPr>
                    <w:rPr>
                      <w:rFonts w:ascii="Cambria Math" w:hAnsi="Cambria Math"/>
                    </w:rPr>
                  </m:ctrlPr>
                </m:sSubPr>
                <m:e>
                  <m:r>
                    <w:rPr>
                      <w:rFonts w:ascii="Cambria Math" w:hAnsi="Cambria Math"/>
                    </w:rPr>
                    <m:t>r</m:t>
                  </m:r>
                </m:e>
                <m:sub>
                  <m:r>
                    <m:rPr>
                      <m:lit/>
                      <m:nor/>
                    </m:rPr>
                    <w:rPr>
                      <w:rFonts w:ascii="Cambria Math" w:hAnsi="Cambria Math"/>
                    </w:rPr>
                    <m:t>BL,min</m:t>
                  </m:r>
                </m:sub>
              </m:sSub>
            </m:oMath>
            <w:r w:rsidRPr="00A92ED7">
              <w:rPr>
                <w:color w:val="000000"/>
                <w:sz w:val="20"/>
                <w:szCs w:val="20"/>
              </w:rPr>
              <w:t xml:space="preserve"> </w:t>
            </w:r>
            <w:r w:rsidR="00F95D76" w:rsidRPr="00A92ED7">
              <w:rPr>
                <w:color w:val="000000"/>
                <w:sz w:val="20"/>
                <w:szCs w:val="20"/>
              </w:rPr>
              <w:t>(s/m)</w:t>
            </w:r>
          </w:p>
        </w:tc>
        <w:tc>
          <w:tcPr>
            <w:tcW w:w="991" w:type="dxa"/>
          </w:tcPr>
          <w:p w14:paraId="396490E2" w14:textId="5709B560" w:rsidR="00F95D76" w:rsidRPr="00A92ED7" w:rsidRDefault="00104116" w:rsidP="00FF05A8">
            <w:pPr>
              <w:ind w:left="0"/>
              <w:jc w:val="right"/>
              <w:rPr>
                <w:color w:val="000000"/>
                <w:sz w:val="20"/>
                <w:szCs w:val="20"/>
              </w:rPr>
            </w:pPr>
            <w:r w:rsidRPr="00104116">
              <w:rPr>
                <w:color w:val="000000"/>
                <w:sz w:val="20"/>
                <w:szCs w:val="20"/>
              </w:rPr>
              <w:t>222</w:t>
            </w:r>
          </w:p>
        </w:tc>
        <w:tc>
          <w:tcPr>
            <w:tcW w:w="991" w:type="dxa"/>
          </w:tcPr>
          <w:p w14:paraId="62170398" w14:textId="6E765EC8" w:rsidR="00F95D76" w:rsidRPr="00A92ED7" w:rsidRDefault="00104116" w:rsidP="00FF05A8">
            <w:pPr>
              <w:ind w:left="0"/>
              <w:jc w:val="right"/>
              <w:rPr>
                <w:color w:val="000000"/>
                <w:sz w:val="20"/>
                <w:szCs w:val="20"/>
              </w:rPr>
            </w:pPr>
            <w:r>
              <w:rPr>
                <w:color w:val="000000"/>
                <w:sz w:val="20"/>
                <w:szCs w:val="20"/>
              </w:rPr>
              <w:t>503</w:t>
            </w:r>
          </w:p>
        </w:tc>
        <w:tc>
          <w:tcPr>
            <w:tcW w:w="994" w:type="dxa"/>
          </w:tcPr>
          <w:p w14:paraId="27F1C1BA" w14:textId="042501C4" w:rsidR="00F95D76" w:rsidRPr="00A92ED7" w:rsidRDefault="00104116" w:rsidP="00FF05A8">
            <w:pPr>
              <w:ind w:left="0"/>
              <w:jc w:val="right"/>
              <w:rPr>
                <w:color w:val="000000"/>
                <w:sz w:val="20"/>
                <w:szCs w:val="20"/>
              </w:rPr>
            </w:pPr>
            <w:r w:rsidRPr="00104116">
              <w:rPr>
                <w:color w:val="000000"/>
                <w:sz w:val="20"/>
                <w:szCs w:val="20"/>
              </w:rPr>
              <w:t>464</w:t>
            </w:r>
          </w:p>
        </w:tc>
        <w:tc>
          <w:tcPr>
            <w:tcW w:w="992" w:type="dxa"/>
          </w:tcPr>
          <w:p w14:paraId="00A1B871" w14:textId="72D48029" w:rsidR="00F95D76" w:rsidRPr="00A92ED7" w:rsidRDefault="00104116" w:rsidP="00FF05A8">
            <w:pPr>
              <w:ind w:left="0"/>
              <w:jc w:val="right"/>
              <w:rPr>
                <w:color w:val="000000"/>
                <w:sz w:val="20"/>
                <w:szCs w:val="20"/>
              </w:rPr>
            </w:pPr>
            <w:r w:rsidRPr="00104116">
              <w:rPr>
                <w:color w:val="000000"/>
                <w:sz w:val="20"/>
                <w:szCs w:val="20"/>
              </w:rPr>
              <w:t>511</w:t>
            </w:r>
          </w:p>
        </w:tc>
        <w:tc>
          <w:tcPr>
            <w:tcW w:w="980" w:type="dxa"/>
          </w:tcPr>
          <w:p w14:paraId="572D7F8C" w14:textId="03E5D47C" w:rsidR="00F95D76" w:rsidRPr="00A92ED7" w:rsidRDefault="00104116" w:rsidP="00FF05A8">
            <w:pPr>
              <w:ind w:left="0"/>
              <w:jc w:val="right"/>
              <w:rPr>
                <w:color w:val="000000"/>
                <w:sz w:val="20"/>
                <w:szCs w:val="20"/>
              </w:rPr>
            </w:pPr>
            <w:r w:rsidRPr="00104116">
              <w:rPr>
                <w:color w:val="000000"/>
                <w:sz w:val="20"/>
                <w:szCs w:val="20"/>
              </w:rPr>
              <w:t>277</w:t>
            </w:r>
          </w:p>
        </w:tc>
        <w:tc>
          <w:tcPr>
            <w:tcW w:w="1044" w:type="dxa"/>
          </w:tcPr>
          <w:p w14:paraId="0782F60E" w14:textId="0FE0B4AD" w:rsidR="00F95D76" w:rsidRPr="00A92ED7" w:rsidRDefault="00104116" w:rsidP="00FF05A8">
            <w:pPr>
              <w:ind w:left="0"/>
              <w:jc w:val="right"/>
              <w:rPr>
                <w:color w:val="000000"/>
                <w:sz w:val="20"/>
                <w:szCs w:val="20"/>
              </w:rPr>
            </w:pPr>
            <w:r w:rsidRPr="00104116">
              <w:rPr>
                <w:color w:val="000000"/>
                <w:sz w:val="20"/>
                <w:szCs w:val="20"/>
              </w:rPr>
              <w:t>200</w:t>
            </w:r>
          </w:p>
        </w:tc>
        <w:tc>
          <w:tcPr>
            <w:tcW w:w="1047" w:type="dxa"/>
          </w:tcPr>
          <w:p w14:paraId="46262E02" w14:textId="177FEBF7" w:rsidR="00F95D76" w:rsidRPr="00A92ED7" w:rsidRDefault="00104116" w:rsidP="00FF05A8">
            <w:pPr>
              <w:ind w:left="0"/>
              <w:jc w:val="right"/>
              <w:rPr>
                <w:color w:val="000000"/>
                <w:sz w:val="20"/>
                <w:szCs w:val="20"/>
              </w:rPr>
            </w:pPr>
            <w:r w:rsidRPr="00104116">
              <w:rPr>
                <w:color w:val="000000"/>
                <w:sz w:val="20"/>
                <w:szCs w:val="20"/>
              </w:rPr>
              <w:t>231</w:t>
            </w:r>
          </w:p>
        </w:tc>
        <w:tc>
          <w:tcPr>
            <w:tcW w:w="1027" w:type="dxa"/>
          </w:tcPr>
          <w:p w14:paraId="41BFE209" w14:textId="7C42DD60" w:rsidR="00F95D76" w:rsidRPr="00A92ED7" w:rsidRDefault="00104116" w:rsidP="00FF05A8">
            <w:pPr>
              <w:ind w:left="0"/>
              <w:jc w:val="right"/>
              <w:rPr>
                <w:color w:val="000000"/>
                <w:sz w:val="20"/>
                <w:szCs w:val="20"/>
              </w:rPr>
            </w:pPr>
            <w:r w:rsidRPr="00104116">
              <w:rPr>
                <w:color w:val="000000"/>
                <w:sz w:val="20"/>
                <w:szCs w:val="20"/>
              </w:rPr>
              <w:t>506</w:t>
            </w:r>
          </w:p>
        </w:tc>
        <w:tc>
          <w:tcPr>
            <w:tcW w:w="1055" w:type="dxa"/>
          </w:tcPr>
          <w:p w14:paraId="794F4EE7" w14:textId="2A8ED9A5" w:rsidR="00F95D76" w:rsidRPr="00A92ED7" w:rsidRDefault="00104116" w:rsidP="00FF05A8">
            <w:pPr>
              <w:ind w:left="0"/>
              <w:jc w:val="right"/>
              <w:rPr>
                <w:color w:val="000000"/>
                <w:sz w:val="20"/>
                <w:szCs w:val="20"/>
              </w:rPr>
            </w:pPr>
            <w:r w:rsidRPr="00104116">
              <w:rPr>
                <w:color w:val="000000"/>
                <w:sz w:val="20"/>
                <w:szCs w:val="20"/>
              </w:rPr>
              <w:t>82</w:t>
            </w:r>
          </w:p>
        </w:tc>
        <w:tc>
          <w:tcPr>
            <w:tcW w:w="1012" w:type="dxa"/>
          </w:tcPr>
          <w:p w14:paraId="7292F9BD" w14:textId="6CABA141" w:rsidR="00F95D76" w:rsidRPr="00A92ED7" w:rsidRDefault="00104116" w:rsidP="00FF05A8">
            <w:pPr>
              <w:ind w:left="0"/>
              <w:jc w:val="right"/>
              <w:rPr>
                <w:color w:val="000000"/>
                <w:sz w:val="20"/>
                <w:szCs w:val="20"/>
              </w:rPr>
            </w:pPr>
            <w:r w:rsidRPr="00104116">
              <w:rPr>
                <w:color w:val="000000"/>
                <w:sz w:val="20"/>
                <w:szCs w:val="20"/>
              </w:rPr>
              <w:t>319</w:t>
            </w:r>
          </w:p>
        </w:tc>
        <w:tc>
          <w:tcPr>
            <w:tcW w:w="1001" w:type="dxa"/>
          </w:tcPr>
          <w:p w14:paraId="0B83B13D" w14:textId="5A361062" w:rsidR="00F95D76" w:rsidRPr="00A92ED7" w:rsidRDefault="00104116" w:rsidP="00FF05A8">
            <w:pPr>
              <w:ind w:left="0"/>
              <w:jc w:val="right"/>
              <w:rPr>
                <w:color w:val="000000"/>
                <w:sz w:val="20"/>
                <w:szCs w:val="20"/>
              </w:rPr>
            </w:pPr>
            <w:r w:rsidRPr="00104116">
              <w:rPr>
                <w:color w:val="000000"/>
                <w:sz w:val="20"/>
                <w:szCs w:val="20"/>
              </w:rPr>
              <w:t>194</w:t>
            </w:r>
          </w:p>
        </w:tc>
      </w:tr>
      <w:tr w:rsidR="00F95D76" w14:paraId="720DD420" w14:textId="77777777" w:rsidTr="00A92ED7">
        <w:tc>
          <w:tcPr>
            <w:tcW w:w="1816" w:type="dxa"/>
          </w:tcPr>
          <w:p w14:paraId="02AF974A" w14:textId="65530162" w:rsidR="00F95D76" w:rsidRPr="00A92ED7" w:rsidRDefault="00E16029" w:rsidP="00E16029">
            <w:pPr>
              <w:ind w:left="0"/>
              <w:jc w:val="both"/>
              <w:rPr>
                <w:color w:val="000000"/>
                <w:sz w:val="20"/>
                <w:szCs w:val="20"/>
              </w:rPr>
            </w:pPr>
            <m:oMath>
              <m:sSub>
                <m:sSubPr>
                  <m:ctrlPr>
                    <w:rPr>
                      <w:rFonts w:ascii="Cambria Math" w:hAnsi="Cambria Math"/>
                    </w:rPr>
                  </m:ctrlPr>
                </m:sSubPr>
                <m:e>
                  <m:r>
                    <w:rPr>
                      <w:rFonts w:ascii="Cambria Math" w:hAnsi="Cambria Math"/>
                    </w:rPr>
                    <m:t>r</m:t>
                  </m:r>
                </m:e>
                <m:sub>
                  <m:r>
                    <m:rPr>
                      <m:lit/>
                      <m:nor/>
                    </m:rPr>
                    <w:rPr>
                      <w:rFonts w:ascii="Cambria Math" w:hAnsi="Cambria Math"/>
                    </w:rPr>
                    <m:t>BL,max</m:t>
                  </m:r>
                </m:sub>
              </m:sSub>
            </m:oMath>
            <w:r w:rsidRPr="00A92ED7">
              <w:rPr>
                <w:color w:val="000000"/>
                <w:sz w:val="20"/>
                <w:szCs w:val="20"/>
              </w:rPr>
              <w:t xml:space="preserve"> </w:t>
            </w:r>
            <w:r w:rsidR="00F95D76" w:rsidRPr="00A92ED7">
              <w:rPr>
                <w:color w:val="000000"/>
                <w:sz w:val="20"/>
                <w:szCs w:val="20"/>
              </w:rPr>
              <w:t>(s/m)</w:t>
            </w:r>
          </w:p>
        </w:tc>
        <w:tc>
          <w:tcPr>
            <w:tcW w:w="991" w:type="dxa"/>
          </w:tcPr>
          <w:p w14:paraId="254B9793" w14:textId="652B6EF8" w:rsidR="00F95D76" w:rsidRPr="00A92ED7" w:rsidRDefault="00F95D76" w:rsidP="00FF05A8">
            <w:pPr>
              <w:ind w:left="0"/>
              <w:jc w:val="right"/>
              <w:rPr>
                <w:color w:val="000000"/>
                <w:sz w:val="20"/>
                <w:szCs w:val="20"/>
              </w:rPr>
            </w:pPr>
            <w:r w:rsidRPr="00A92ED7">
              <w:rPr>
                <w:color w:val="000000"/>
                <w:sz w:val="20"/>
                <w:szCs w:val="20"/>
              </w:rPr>
              <w:t>1000</w:t>
            </w:r>
          </w:p>
        </w:tc>
        <w:tc>
          <w:tcPr>
            <w:tcW w:w="991" w:type="dxa"/>
          </w:tcPr>
          <w:p w14:paraId="6002A3E4" w14:textId="4E4D0B8A" w:rsidR="00F95D76" w:rsidRPr="00A92ED7" w:rsidRDefault="00F95D76" w:rsidP="00FF05A8">
            <w:pPr>
              <w:ind w:left="0"/>
              <w:jc w:val="right"/>
              <w:rPr>
                <w:color w:val="000000"/>
                <w:sz w:val="20"/>
                <w:szCs w:val="20"/>
              </w:rPr>
            </w:pPr>
            <w:r w:rsidRPr="00A92ED7">
              <w:rPr>
                <w:color w:val="000000"/>
                <w:sz w:val="20"/>
                <w:szCs w:val="20"/>
              </w:rPr>
              <w:t>1000</w:t>
            </w:r>
          </w:p>
        </w:tc>
        <w:tc>
          <w:tcPr>
            <w:tcW w:w="994" w:type="dxa"/>
          </w:tcPr>
          <w:p w14:paraId="6056493A" w14:textId="7CC0991A" w:rsidR="00F95D76" w:rsidRPr="00A92ED7" w:rsidRDefault="00F95D76" w:rsidP="00FF05A8">
            <w:pPr>
              <w:ind w:left="0"/>
              <w:jc w:val="right"/>
              <w:rPr>
                <w:color w:val="000000"/>
                <w:sz w:val="20"/>
                <w:szCs w:val="20"/>
              </w:rPr>
            </w:pPr>
            <w:r w:rsidRPr="00A92ED7">
              <w:rPr>
                <w:color w:val="000000"/>
                <w:sz w:val="20"/>
                <w:szCs w:val="20"/>
              </w:rPr>
              <w:t>1000</w:t>
            </w:r>
          </w:p>
        </w:tc>
        <w:tc>
          <w:tcPr>
            <w:tcW w:w="992" w:type="dxa"/>
          </w:tcPr>
          <w:p w14:paraId="69442962" w14:textId="03BE70D6" w:rsidR="00F95D76" w:rsidRPr="00A92ED7" w:rsidRDefault="00F95D76" w:rsidP="00FF05A8">
            <w:pPr>
              <w:ind w:left="0"/>
              <w:jc w:val="right"/>
              <w:rPr>
                <w:color w:val="000000"/>
                <w:sz w:val="20"/>
                <w:szCs w:val="20"/>
              </w:rPr>
            </w:pPr>
            <w:r w:rsidRPr="00A92ED7">
              <w:rPr>
                <w:color w:val="000000"/>
                <w:sz w:val="20"/>
                <w:szCs w:val="20"/>
              </w:rPr>
              <w:t>1000</w:t>
            </w:r>
          </w:p>
        </w:tc>
        <w:tc>
          <w:tcPr>
            <w:tcW w:w="980" w:type="dxa"/>
          </w:tcPr>
          <w:p w14:paraId="76F48358" w14:textId="3BFB74EB" w:rsidR="00F95D76" w:rsidRPr="00A92ED7" w:rsidRDefault="00F95D76" w:rsidP="00FF05A8">
            <w:pPr>
              <w:ind w:left="0"/>
              <w:jc w:val="right"/>
              <w:rPr>
                <w:color w:val="000000"/>
                <w:sz w:val="20"/>
                <w:szCs w:val="20"/>
              </w:rPr>
            </w:pPr>
            <w:r w:rsidRPr="00A92ED7">
              <w:rPr>
                <w:color w:val="000000"/>
                <w:sz w:val="20"/>
                <w:szCs w:val="20"/>
              </w:rPr>
              <w:t>1000</w:t>
            </w:r>
          </w:p>
        </w:tc>
        <w:tc>
          <w:tcPr>
            <w:tcW w:w="1044" w:type="dxa"/>
          </w:tcPr>
          <w:p w14:paraId="1D5FB2A5" w14:textId="38C13789" w:rsidR="00F95D76" w:rsidRPr="00A92ED7" w:rsidRDefault="00F95D76" w:rsidP="00FF05A8">
            <w:pPr>
              <w:ind w:left="0"/>
              <w:jc w:val="right"/>
              <w:rPr>
                <w:color w:val="000000"/>
                <w:sz w:val="20"/>
                <w:szCs w:val="20"/>
              </w:rPr>
            </w:pPr>
            <w:r w:rsidRPr="00A92ED7">
              <w:rPr>
                <w:color w:val="000000"/>
                <w:sz w:val="20"/>
                <w:szCs w:val="20"/>
              </w:rPr>
              <w:t>1000</w:t>
            </w:r>
          </w:p>
        </w:tc>
        <w:tc>
          <w:tcPr>
            <w:tcW w:w="1047" w:type="dxa"/>
          </w:tcPr>
          <w:p w14:paraId="7B55182A" w14:textId="677C4647" w:rsidR="00F95D76" w:rsidRPr="00A92ED7" w:rsidRDefault="00F95D76" w:rsidP="00FF05A8">
            <w:pPr>
              <w:ind w:left="0"/>
              <w:jc w:val="right"/>
              <w:rPr>
                <w:color w:val="000000"/>
                <w:sz w:val="20"/>
                <w:szCs w:val="20"/>
              </w:rPr>
            </w:pPr>
            <w:r w:rsidRPr="00A92ED7">
              <w:rPr>
                <w:color w:val="000000"/>
                <w:sz w:val="20"/>
                <w:szCs w:val="20"/>
              </w:rPr>
              <w:t>1000</w:t>
            </w:r>
          </w:p>
        </w:tc>
        <w:tc>
          <w:tcPr>
            <w:tcW w:w="1027" w:type="dxa"/>
          </w:tcPr>
          <w:p w14:paraId="0A8CF441" w14:textId="25A104E2" w:rsidR="00F95D76" w:rsidRPr="00A92ED7" w:rsidRDefault="00F95D76" w:rsidP="00FF05A8">
            <w:pPr>
              <w:ind w:left="0"/>
              <w:jc w:val="right"/>
              <w:rPr>
                <w:color w:val="000000"/>
                <w:sz w:val="20"/>
                <w:szCs w:val="20"/>
              </w:rPr>
            </w:pPr>
            <w:r w:rsidRPr="00A92ED7">
              <w:rPr>
                <w:color w:val="000000"/>
                <w:sz w:val="20"/>
                <w:szCs w:val="20"/>
              </w:rPr>
              <w:t>1000</w:t>
            </w:r>
          </w:p>
        </w:tc>
        <w:tc>
          <w:tcPr>
            <w:tcW w:w="1055" w:type="dxa"/>
          </w:tcPr>
          <w:p w14:paraId="5C8311CA" w14:textId="2D452BF1" w:rsidR="00F95D76" w:rsidRPr="00A92ED7" w:rsidRDefault="00F95D76" w:rsidP="00FF05A8">
            <w:pPr>
              <w:ind w:left="0"/>
              <w:jc w:val="right"/>
              <w:rPr>
                <w:color w:val="000000"/>
                <w:sz w:val="20"/>
                <w:szCs w:val="20"/>
              </w:rPr>
            </w:pPr>
            <w:r w:rsidRPr="00A92ED7">
              <w:rPr>
                <w:color w:val="000000"/>
                <w:sz w:val="20"/>
                <w:szCs w:val="20"/>
              </w:rPr>
              <w:t>1000</w:t>
            </w:r>
          </w:p>
        </w:tc>
        <w:tc>
          <w:tcPr>
            <w:tcW w:w="1012" w:type="dxa"/>
          </w:tcPr>
          <w:p w14:paraId="2B4E6AB8" w14:textId="51B38E39" w:rsidR="00F95D76" w:rsidRPr="00A92ED7" w:rsidRDefault="00F95D76" w:rsidP="00FF05A8">
            <w:pPr>
              <w:ind w:left="0"/>
              <w:jc w:val="right"/>
              <w:rPr>
                <w:color w:val="000000"/>
                <w:sz w:val="20"/>
                <w:szCs w:val="20"/>
              </w:rPr>
            </w:pPr>
            <w:r w:rsidRPr="00A92ED7">
              <w:rPr>
                <w:color w:val="000000"/>
                <w:sz w:val="20"/>
                <w:szCs w:val="20"/>
              </w:rPr>
              <w:t>1000</w:t>
            </w:r>
          </w:p>
        </w:tc>
        <w:tc>
          <w:tcPr>
            <w:tcW w:w="1001" w:type="dxa"/>
          </w:tcPr>
          <w:p w14:paraId="7A60E3BD" w14:textId="7063FA18" w:rsidR="00F95D76" w:rsidRPr="00A92ED7" w:rsidRDefault="00F95D76" w:rsidP="00FF05A8">
            <w:pPr>
              <w:ind w:left="0"/>
              <w:jc w:val="right"/>
              <w:rPr>
                <w:color w:val="000000"/>
                <w:sz w:val="20"/>
                <w:szCs w:val="20"/>
              </w:rPr>
            </w:pPr>
            <w:r w:rsidRPr="00A92ED7">
              <w:rPr>
                <w:color w:val="000000"/>
                <w:sz w:val="20"/>
                <w:szCs w:val="20"/>
              </w:rPr>
              <w:t>1000</w:t>
            </w:r>
          </w:p>
        </w:tc>
      </w:tr>
      <w:tr w:rsidR="00F95D76" w14:paraId="662E6BD6" w14:textId="77777777" w:rsidTr="00A92ED7">
        <w:tc>
          <w:tcPr>
            <w:tcW w:w="1816" w:type="dxa"/>
          </w:tcPr>
          <w:p w14:paraId="178FC33E" w14:textId="701B3045" w:rsidR="00F95D76" w:rsidRPr="00A92ED7" w:rsidRDefault="00E16029" w:rsidP="00E16029">
            <w:pPr>
              <w:ind w:left="0"/>
              <w:jc w:val="both"/>
              <w:rPr>
                <w:color w:val="000000"/>
                <w:sz w:val="20"/>
                <w:szCs w:val="20"/>
              </w:rPr>
            </w:pPr>
            <w:r>
              <w:rPr>
                <w:color w:val="000000"/>
                <w:sz w:val="20"/>
                <w:szCs w:val="20"/>
              </w:rPr>
              <w:sym w:font="Symbol" w:char="F062"/>
            </w:r>
          </w:p>
        </w:tc>
        <w:tc>
          <w:tcPr>
            <w:tcW w:w="991" w:type="dxa"/>
          </w:tcPr>
          <w:p w14:paraId="0141DF7E" w14:textId="6E930FDD" w:rsidR="00F95D76" w:rsidRPr="00A92ED7" w:rsidRDefault="00F95D76" w:rsidP="00FF05A8">
            <w:pPr>
              <w:ind w:left="0"/>
              <w:jc w:val="right"/>
              <w:rPr>
                <w:color w:val="000000"/>
                <w:sz w:val="20"/>
                <w:szCs w:val="20"/>
              </w:rPr>
            </w:pPr>
            <w:r w:rsidRPr="00A92ED7">
              <w:rPr>
                <w:color w:val="000000"/>
                <w:sz w:val="20"/>
                <w:szCs w:val="20"/>
              </w:rPr>
              <w:t>250</w:t>
            </w:r>
          </w:p>
        </w:tc>
        <w:tc>
          <w:tcPr>
            <w:tcW w:w="991" w:type="dxa"/>
          </w:tcPr>
          <w:p w14:paraId="5727A091" w14:textId="63914B9D" w:rsidR="00F95D76" w:rsidRPr="00A92ED7" w:rsidRDefault="00F95D76" w:rsidP="00FF05A8">
            <w:pPr>
              <w:ind w:left="0"/>
              <w:jc w:val="right"/>
              <w:rPr>
                <w:color w:val="000000"/>
                <w:sz w:val="20"/>
                <w:szCs w:val="20"/>
              </w:rPr>
            </w:pPr>
            <w:r w:rsidRPr="00A92ED7">
              <w:rPr>
                <w:color w:val="000000"/>
                <w:sz w:val="20"/>
                <w:szCs w:val="20"/>
              </w:rPr>
              <w:t>250</w:t>
            </w:r>
          </w:p>
        </w:tc>
        <w:tc>
          <w:tcPr>
            <w:tcW w:w="994" w:type="dxa"/>
          </w:tcPr>
          <w:p w14:paraId="2647B292" w14:textId="44D8BD62" w:rsidR="00F95D76" w:rsidRPr="00A92ED7" w:rsidRDefault="00F95D76" w:rsidP="00FF05A8">
            <w:pPr>
              <w:ind w:left="0"/>
              <w:jc w:val="right"/>
              <w:rPr>
                <w:color w:val="000000"/>
                <w:sz w:val="20"/>
                <w:szCs w:val="20"/>
              </w:rPr>
            </w:pPr>
            <w:r w:rsidRPr="00A92ED7">
              <w:rPr>
                <w:color w:val="000000"/>
                <w:sz w:val="20"/>
                <w:szCs w:val="20"/>
              </w:rPr>
              <w:t>250</w:t>
            </w:r>
          </w:p>
        </w:tc>
        <w:tc>
          <w:tcPr>
            <w:tcW w:w="992" w:type="dxa"/>
          </w:tcPr>
          <w:p w14:paraId="279A4C74" w14:textId="1DF65890" w:rsidR="00F95D76" w:rsidRPr="00A92ED7" w:rsidRDefault="00F95D76" w:rsidP="00FF05A8">
            <w:pPr>
              <w:ind w:left="0"/>
              <w:jc w:val="right"/>
              <w:rPr>
                <w:color w:val="000000"/>
                <w:sz w:val="20"/>
                <w:szCs w:val="20"/>
              </w:rPr>
            </w:pPr>
            <w:r w:rsidRPr="00A92ED7">
              <w:rPr>
                <w:color w:val="000000"/>
                <w:sz w:val="20"/>
                <w:szCs w:val="20"/>
              </w:rPr>
              <w:t>250</w:t>
            </w:r>
          </w:p>
        </w:tc>
        <w:tc>
          <w:tcPr>
            <w:tcW w:w="980" w:type="dxa"/>
          </w:tcPr>
          <w:p w14:paraId="6573C792" w14:textId="1D51FA1D" w:rsidR="00F95D76" w:rsidRPr="00A92ED7" w:rsidRDefault="00F95D76" w:rsidP="00FF05A8">
            <w:pPr>
              <w:ind w:left="0"/>
              <w:jc w:val="right"/>
              <w:rPr>
                <w:color w:val="000000"/>
                <w:sz w:val="20"/>
                <w:szCs w:val="20"/>
              </w:rPr>
            </w:pPr>
            <w:r w:rsidRPr="00A92ED7">
              <w:rPr>
                <w:color w:val="000000"/>
                <w:sz w:val="20"/>
                <w:szCs w:val="20"/>
              </w:rPr>
              <w:t>250</w:t>
            </w:r>
          </w:p>
        </w:tc>
        <w:tc>
          <w:tcPr>
            <w:tcW w:w="1044" w:type="dxa"/>
          </w:tcPr>
          <w:p w14:paraId="25BC062E" w14:textId="0B93ACA2" w:rsidR="00F95D76" w:rsidRPr="00A92ED7" w:rsidRDefault="00F95D76" w:rsidP="00FF05A8">
            <w:pPr>
              <w:ind w:left="0"/>
              <w:jc w:val="right"/>
              <w:rPr>
                <w:color w:val="000000"/>
                <w:sz w:val="20"/>
                <w:szCs w:val="20"/>
              </w:rPr>
            </w:pPr>
            <w:r w:rsidRPr="00A92ED7">
              <w:rPr>
                <w:color w:val="000000"/>
                <w:sz w:val="20"/>
                <w:szCs w:val="20"/>
              </w:rPr>
              <w:t>250</w:t>
            </w:r>
          </w:p>
        </w:tc>
        <w:tc>
          <w:tcPr>
            <w:tcW w:w="1047" w:type="dxa"/>
          </w:tcPr>
          <w:p w14:paraId="3945D9E5" w14:textId="6558C8C6" w:rsidR="00F95D76" w:rsidRPr="00A92ED7" w:rsidRDefault="00F95D76" w:rsidP="00FF05A8">
            <w:pPr>
              <w:ind w:left="0"/>
              <w:jc w:val="right"/>
              <w:rPr>
                <w:color w:val="000000"/>
                <w:sz w:val="20"/>
                <w:szCs w:val="20"/>
              </w:rPr>
            </w:pPr>
            <w:r w:rsidRPr="00A92ED7">
              <w:rPr>
                <w:color w:val="000000"/>
                <w:sz w:val="20"/>
                <w:szCs w:val="20"/>
              </w:rPr>
              <w:t>250</w:t>
            </w:r>
          </w:p>
        </w:tc>
        <w:tc>
          <w:tcPr>
            <w:tcW w:w="1027" w:type="dxa"/>
          </w:tcPr>
          <w:p w14:paraId="47C4EF19" w14:textId="2080E730" w:rsidR="00F95D76" w:rsidRPr="00A92ED7" w:rsidRDefault="00F95D76" w:rsidP="00FF05A8">
            <w:pPr>
              <w:ind w:left="0"/>
              <w:jc w:val="right"/>
              <w:rPr>
                <w:color w:val="000000"/>
                <w:sz w:val="20"/>
                <w:szCs w:val="20"/>
              </w:rPr>
            </w:pPr>
            <w:r w:rsidRPr="00A92ED7">
              <w:rPr>
                <w:color w:val="000000"/>
                <w:sz w:val="20"/>
                <w:szCs w:val="20"/>
              </w:rPr>
              <w:t>250</w:t>
            </w:r>
          </w:p>
        </w:tc>
        <w:tc>
          <w:tcPr>
            <w:tcW w:w="1055" w:type="dxa"/>
          </w:tcPr>
          <w:p w14:paraId="691561CE" w14:textId="70B3F6A4" w:rsidR="00F95D76" w:rsidRPr="00A92ED7" w:rsidRDefault="00F95D76" w:rsidP="00FF05A8">
            <w:pPr>
              <w:ind w:left="0"/>
              <w:jc w:val="right"/>
              <w:rPr>
                <w:color w:val="000000"/>
                <w:sz w:val="20"/>
                <w:szCs w:val="20"/>
              </w:rPr>
            </w:pPr>
            <w:r w:rsidRPr="00A92ED7">
              <w:rPr>
                <w:color w:val="000000"/>
                <w:sz w:val="20"/>
                <w:szCs w:val="20"/>
              </w:rPr>
              <w:t>250</w:t>
            </w:r>
          </w:p>
        </w:tc>
        <w:tc>
          <w:tcPr>
            <w:tcW w:w="1012" w:type="dxa"/>
          </w:tcPr>
          <w:p w14:paraId="7455FFDD" w14:textId="6AFE4BE8" w:rsidR="00F95D76" w:rsidRPr="00A92ED7" w:rsidRDefault="00F95D76" w:rsidP="00FF05A8">
            <w:pPr>
              <w:ind w:left="0"/>
              <w:jc w:val="right"/>
              <w:rPr>
                <w:color w:val="000000"/>
                <w:sz w:val="20"/>
                <w:szCs w:val="20"/>
              </w:rPr>
            </w:pPr>
            <w:r w:rsidRPr="00A92ED7">
              <w:rPr>
                <w:color w:val="000000"/>
                <w:sz w:val="20"/>
                <w:szCs w:val="20"/>
              </w:rPr>
              <w:t>250</w:t>
            </w:r>
          </w:p>
        </w:tc>
        <w:tc>
          <w:tcPr>
            <w:tcW w:w="1001" w:type="dxa"/>
          </w:tcPr>
          <w:p w14:paraId="2245ADEF" w14:textId="455A6C13" w:rsidR="00F95D76" w:rsidRPr="00A92ED7" w:rsidRDefault="00F95D76" w:rsidP="00FF05A8">
            <w:pPr>
              <w:ind w:left="0"/>
              <w:jc w:val="right"/>
              <w:rPr>
                <w:color w:val="000000"/>
                <w:sz w:val="20"/>
                <w:szCs w:val="20"/>
              </w:rPr>
            </w:pPr>
            <w:r w:rsidRPr="00A92ED7">
              <w:rPr>
                <w:color w:val="000000"/>
                <w:sz w:val="20"/>
                <w:szCs w:val="20"/>
              </w:rPr>
              <w:t>250</w:t>
            </w:r>
          </w:p>
        </w:tc>
      </w:tr>
    </w:tbl>
    <w:p w14:paraId="74EF8E9D" w14:textId="77777777" w:rsidR="002815AA" w:rsidRDefault="002815AA" w:rsidP="0027788A">
      <w:pPr>
        <w:ind w:left="0"/>
        <w:jc w:val="both"/>
        <w:rPr>
          <w:i/>
        </w:rPr>
      </w:pPr>
    </w:p>
    <w:p w14:paraId="4C10DF73" w14:textId="77777777" w:rsidR="002815AA" w:rsidRDefault="002815AA" w:rsidP="0027788A">
      <w:pPr>
        <w:ind w:left="0"/>
        <w:jc w:val="both"/>
        <w:rPr>
          <w:i/>
        </w:rPr>
      </w:pPr>
    </w:p>
    <w:p w14:paraId="282B6F80" w14:textId="77777777" w:rsidR="002815AA" w:rsidRDefault="002815AA" w:rsidP="0027788A">
      <w:pPr>
        <w:pStyle w:val="FirstParagraph"/>
        <w:jc w:val="both"/>
        <w:sectPr w:rsidR="002815AA" w:rsidSect="002815AA">
          <w:pgSz w:w="15840" w:h="12240" w:orient="landscape"/>
          <w:pgMar w:top="1440" w:right="1440" w:bottom="1440" w:left="1440" w:header="0" w:footer="0" w:gutter="0"/>
          <w:cols w:space="720"/>
          <w:formProt w:val="0"/>
          <w:docGrid w:linePitch="326"/>
        </w:sectPr>
      </w:pPr>
    </w:p>
    <w:p w14:paraId="2D6CCF61" w14:textId="3A357879" w:rsidR="00031310" w:rsidRDefault="00EA4C4E">
      <w:pPr>
        <w:pStyle w:val="Heading2"/>
      </w:pPr>
      <w:bookmarkStart w:id="46" w:name="_Toc181041691"/>
      <w:r>
        <w:lastRenderedPageBreak/>
        <w:t xml:space="preserve">4.3 </w:t>
      </w:r>
      <w:bookmarkStart w:id="47" w:name="vegetation-properties-and-albedo"/>
      <w:r>
        <w:t>Vegetation Properties and Albedo</w:t>
      </w:r>
      <w:bookmarkEnd w:id="46"/>
      <w:bookmarkEnd w:id="47"/>
    </w:p>
    <w:p w14:paraId="425C7C4D" w14:textId="7F598305" w:rsidR="00031310" w:rsidRDefault="00EA4C4E" w:rsidP="00CF0D36">
      <w:pPr>
        <w:pStyle w:val="FirstParagraph"/>
        <w:jc w:val="both"/>
      </w:pPr>
      <w:r>
        <w:t xml:space="preserve">The </w:t>
      </w:r>
      <w:proofErr w:type="spellStart"/>
      <w:r>
        <w:t>fPAR</w:t>
      </w:r>
      <w:proofErr w:type="spellEnd"/>
      <w:r>
        <w:t xml:space="preserve">/LAI </w:t>
      </w:r>
      <w:r w:rsidR="006F3B7B">
        <w:t xml:space="preserve">inputs used for the ET calculations are obtained from </w:t>
      </w:r>
      <w:r>
        <w:t>an 8-day, composite VIIRS data product, VNP15A2H. The VNP15 compositing algorithm uses a simple selection rule</w:t>
      </w:r>
      <w:r w:rsidR="00014393">
        <w:t>,</w:t>
      </w:r>
      <w:r>
        <w:t xml:space="preserve"> whereby</w:t>
      </w:r>
      <w:r w:rsidR="00014393">
        <w:t>,</w:t>
      </w:r>
      <w:r>
        <w:t xml:space="preserve"> the maximum </w:t>
      </w:r>
      <w:proofErr w:type="spellStart"/>
      <w:r>
        <w:t>fPAR</w:t>
      </w:r>
      <w:proofErr w:type="spellEnd"/>
      <w:r>
        <w:t xml:space="preserve"> (across the eight days) is chosen as the output pixel. The same day chosen to represent the </w:t>
      </w:r>
      <w:proofErr w:type="spellStart"/>
      <w:r>
        <w:t>fPAR</w:t>
      </w:r>
      <w:proofErr w:type="spellEnd"/>
      <w:r>
        <w:t xml:space="preserve"> measure also contributes the current pixel’s LAI value. This means that although ET is calculated daily, the VNP16 algorithm necessarily assumes that leaf area and </w:t>
      </w:r>
      <w:proofErr w:type="spellStart"/>
      <w:r>
        <w:t>fPAR</w:t>
      </w:r>
      <w:proofErr w:type="spellEnd"/>
      <w:r>
        <w:t xml:space="preserve"> do not vary during a given 8-day period. Compositing of LAI and </w:t>
      </w:r>
      <w:proofErr w:type="spellStart"/>
      <w:r>
        <w:t>fPAR</w:t>
      </w:r>
      <w:proofErr w:type="spellEnd"/>
      <w:r>
        <w:t xml:space="preserve"> is required to provide an accurate depiction of global leaf area dynamics with consideration of spectral cloud contamination, particularly in the tropics.</w:t>
      </w:r>
    </w:p>
    <w:p w14:paraId="71197B6C" w14:textId="76DADF0C" w:rsidR="00031310" w:rsidRDefault="00EA4C4E" w:rsidP="004606E6">
      <w:pPr>
        <w:pStyle w:val="BodyText"/>
        <w:spacing w:before="120"/>
        <w:ind w:firstLine="432"/>
        <w:jc w:val="both"/>
      </w:pPr>
      <w:r>
        <w:t>VIIRS ET uses 1-km shortwave black-sky broadband albedo (</w:t>
      </w:r>
      <w:proofErr w:type="spellStart"/>
      <w:r>
        <w:t>Albedo_BSA_shortwave</w:t>
      </w:r>
      <w:proofErr w:type="spellEnd"/>
      <w:r>
        <w:t xml:space="preserve">) from the VIIRS M bands’ BRDF data product, VNP43MA3 (or VJ143MA3), which is a 16-day, rolling, daily albedo data product. The daily </w:t>
      </w:r>
      <w:proofErr w:type="spellStart"/>
      <w:r>
        <w:t>Albedo_BSA_shortwave</w:t>
      </w:r>
      <w:proofErr w:type="spellEnd"/>
      <w:r>
        <w:t xml:space="preserve"> is used as the input albedo to the 500-m ET algorithm, where the four 500-m pixels within a 1-square kilometer </w:t>
      </w:r>
      <w:proofErr w:type="spellStart"/>
      <w:r>
        <w:t>Albedo_BSA_shortwave</w:t>
      </w:r>
      <w:proofErr w:type="spellEnd"/>
      <w:r>
        <w:t xml:space="preserve"> pixel share the same albedo value. When the albedo value is missing (i.e., is equal to the fill value) for snow-free (snow/ice status is derived from </w:t>
      </w:r>
      <w:proofErr w:type="spellStart"/>
      <w:r>
        <w:t>FparExtra_QC</w:t>
      </w:r>
      <w:proofErr w:type="spellEnd"/>
      <w:r>
        <w:t xml:space="preserve"> in VNP15A2H), vegetated land pixels due to a poor retrieval, </w:t>
      </w:r>
      <w:r w:rsidR="00914C26">
        <w:t xml:space="preserve">the </w:t>
      </w:r>
      <w:r>
        <w:t xml:space="preserve">snow-free gap-filled MODIS albedo </w:t>
      </w:r>
      <w:r w:rsidR="00914C26">
        <w:t>is</w:t>
      </w:r>
      <w:r>
        <w:t xml:space="preserve"> used (Sun et al., 2017). Otherwise, an albedo value of 0.4, a </w:t>
      </w:r>
      <w:r w:rsidR="004606E6">
        <w:t xml:space="preserve">default </w:t>
      </w:r>
      <w:r>
        <w:t xml:space="preserve">value is used. In the future, we may create intermediate climatology/gap-filled VIIRS albedo in a fashion </w:t>
      </w:r>
      <w:r w:rsidR="00565E69">
        <w:t>like</w:t>
      </w:r>
      <w:r>
        <w:t xml:space="preserve"> how the climatology/gap-filled </w:t>
      </w:r>
      <w:proofErr w:type="spellStart"/>
      <w:r>
        <w:t>fPAR</w:t>
      </w:r>
      <w:proofErr w:type="spellEnd"/>
      <w:r>
        <w:t>/LAI is created to support VIIRS</w:t>
      </w:r>
      <w:r w:rsidR="00914C26">
        <w:t xml:space="preserve"> (see </w:t>
      </w:r>
      <w:r w:rsidR="00914C26" w:rsidRPr="00914C26">
        <w:t>Section 4.4</w:t>
      </w:r>
      <w:r w:rsidR="00914C26">
        <w:t>)</w:t>
      </w:r>
      <w:r>
        <w:t>.</w:t>
      </w:r>
    </w:p>
    <w:p w14:paraId="79A0DC30" w14:textId="3AD95D28" w:rsidR="00031310" w:rsidRDefault="00EA4C4E">
      <w:pPr>
        <w:pStyle w:val="Heading2"/>
      </w:pPr>
      <w:bookmarkStart w:id="48" w:name="_Toc181041692"/>
      <w:r>
        <w:t xml:space="preserve">4.4 </w:t>
      </w:r>
      <w:bookmarkStart w:id="49" w:name="X63934c8e1574e8521511e8b68be303ee954c237"/>
      <w:r>
        <w:t>Cloud/Aerosol Screening and Year-End Gap-Filling</w:t>
      </w:r>
      <w:bookmarkEnd w:id="48"/>
      <w:bookmarkEnd w:id="49"/>
    </w:p>
    <w:p w14:paraId="2B2C0451" w14:textId="5A72637D" w:rsidR="00031310" w:rsidRDefault="00EA4C4E" w:rsidP="00CF0D36">
      <w:pPr>
        <w:pStyle w:val="FirstParagraph"/>
        <w:jc w:val="both"/>
      </w:pPr>
      <w:r>
        <w:t xml:space="preserve">Cloud- and/or aerosol-contaminated 8-day </w:t>
      </w:r>
      <w:proofErr w:type="spellStart"/>
      <w:r>
        <w:t>fPAR</w:t>
      </w:r>
      <w:proofErr w:type="spellEnd"/>
      <w:r>
        <w:t xml:space="preserve">/LAI inputs from the 8-day VNP15A2H or VJ115A2H </w:t>
      </w:r>
      <w:r w:rsidR="00914C26">
        <w:t xml:space="preserve">products </w:t>
      </w:r>
      <w:r>
        <w:t xml:space="preserve">can introduce substantial error to </w:t>
      </w:r>
      <w:r w:rsidR="00914C26">
        <w:t xml:space="preserve">VNP16 </w:t>
      </w:r>
      <w:r>
        <w:t xml:space="preserve">estimated ET or PET. To address this issue, VIIRS ET and PET follow the method </w:t>
      </w:r>
      <w:r w:rsidR="00914C26">
        <w:t>successfully used for</w:t>
      </w:r>
      <w:r>
        <w:t xml:space="preserve"> C6.1 MOD16</w:t>
      </w:r>
      <w:r w:rsidR="00914C26">
        <w:t xml:space="preserve"> processing</w:t>
      </w:r>
      <w:r>
        <w:t>. For the forward VNP16</w:t>
      </w:r>
      <w:r w:rsidR="00914C26">
        <w:t xml:space="preserve"> processing</w:t>
      </w:r>
      <w:r>
        <w:t xml:space="preserve">, a 5-year rolling climatology </w:t>
      </w:r>
      <w:proofErr w:type="spellStart"/>
      <w:r>
        <w:t>fPAR</w:t>
      </w:r>
      <w:proofErr w:type="spellEnd"/>
      <w:r>
        <w:t>/LAI is used to replace</w:t>
      </w:r>
      <w:r w:rsidR="00914C26">
        <w:t xml:space="preserve"> </w:t>
      </w:r>
      <w:r>
        <w:t xml:space="preserve">low-quality VIIRS </w:t>
      </w:r>
      <w:proofErr w:type="spellStart"/>
      <w:r>
        <w:t>fPAR</w:t>
      </w:r>
      <w:proofErr w:type="spellEnd"/>
      <w:r>
        <w:t xml:space="preserve">/LAI values, labeled as such in the </w:t>
      </w:r>
      <w:r w:rsidR="00914C26">
        <w:t xml:space="preserve">product </w:t>
      </w:r>
      <w:r>
        <w:t xml:space="preserve">quality control data fields. This process ensures a consistent, low-latency </w:t>
      </w:r>
      <w:r w:rsidR="00914C26">
        <w:t xml:space="preserve">and gap-free </w:t>
      </w:r>
      <w:r>
        <w:t xml:space="preserve">product for operational use, although residual effects from the loss of dynamic </w:t>
      </w:r>
      <w:proofErr w:type="spellStart"/>
      <w:r>
        <w:t>fPAR</w:t>
      </w:r>
      <w:proofErr w:type="spellEnd"/>
      <w:r>
        <w:t xml:space="preserve">/LAI observations can still limit product performance, particularly </w:t>
      </w:r>
      <w:r w:rsidR="00914C26">
        <w:t xml:space="preserve">in persistent cloudy regions including </w:t>
      </w:r>
      <w:r>
        <w:t xml:space="preserve">the humid tropics and northern temperate and polar regions with a maritime climate. For higher product performance, in each early-year phase, when all 8-day VIIRS VNP15A2H or VJ115A2H of the previous year are available, a year-end, gap-filled 8-day VNP16A2GF and VNP16A3GF for the previous year is produced. Therefore, if the study period is not for the present year, we </w:t>
      </w:r>
      <w:r w:rsidR="002B5459">
        <w:t xml:space="preserve">recommend </w:t>
      </w:r>
      <w:r>
        <w:t xml:space="preserve">using the year-end, gap-filled </w:t>
      </w:r>
      <w:r w:rsidR="002B5459">
        <w:t xml:space="preserve">(GF) </w:t>
      </w:r>
      <w:r>
        <w:t xml:space="preserve">8-day </w:t>
      </w:r>
      <w:r w:rsidR="002B5459">
        <w:t xml:space="preserve">(A2) </w:t>
      </w:r>
      <w:r>
        <w:t xml:space="preserve">and annual </w:t>
      </w:r>
      <w:r w:rsidR="002B5459">
        <w:t xml:space="preserve">(A3) </w:t>
      </w:r>
      <w:r>
        <w:t>data products.</w:t>
      </w:r>
    </w:p>
    <w:p w14:paraId="52AE5A09" w14:textId="28414CD2" w:rsidR="00031310" w:rsidRDefault="00EA4C4E" w:rsidP="00CF0D36">
      <w:pPr>
        <w:pStyle w:val="BodyText"/>
        <w:spacing w:before="120"/>
        <w:ind w:firstLine="432"/>
        <w:jc w:val="both"/>
      </w:pPr>
      <w:r>
        <w:rPr>
          <w:b/>
        </w:rPr>
        <w:t>To promote the use of the superior, gap-filled products, climatology-filled products of previous years will be progressively deprecated, i.e., there will be no forward annual VNP16A3 and VJ116A3 of the previous year, and we will stop delivery of the regular 8-day VNP16A2/VJ116A2 of the previous year in early summer (June) of the present year. This will direct users</w:t>
      </w:r>
      <w:r w:rsidR="00914C26">
        <w:rPr>
          <w:b/>
        </w:rPr>
        <w:t xml:space="preserve"> </w:t>
      </w:r>
      <w:r>
        <w:rPr>
          <w:b/>
        </w:rPr>
        <w:t>to the higher-quality gap-filled data products: 8-day VNP16A2GF/VJ116A2GF and the corresponding annual VNP16A3GF/VJ116A3GF, over all previous years.</w:t>
      </w:r>
    </w:p>
    <w:p w14:paraId="05C0F778" w14:textId="28477F25" w:rsidR="00031310" w:rsidRDefault="00EA4C4E">
      <w:pPr>
        <w:pStyle w:val="Heading3"/>
      </w:pPr>
      <w:bookmarkStart w:id="50" w:name="_Toc181041693"/>
      <w:r>
        <w:lastRenderedPageBreak/>
        <w:t xml:space="preserve">4.4.1 </w:t>
      </w:r>
      <w:bookmarkStart w:id="51" w:name="fparlai-climatology-and-forward-vnp16a2"/>
      <w:proofErr w:type="spellStart"/>
      <w:r>
        <w:t>fPAR</w:t>
      </w:r>
      <w:proofErr w:type="spellEnd"/>
      <w:r>
        <w:t>/LAI Climatology and Forward VNP16A2</w:t>
      </w:r>
      <w:bookmarkEnd w:id="50"/>
      <w:bookmarkEnd w:id="51"/>
    </w:p>
    <w:p w14:paraId="56E27528" w14:textId="19F22E5D" w:rsidR="00031310" w:rsidRDefault="00EA4C4E" w:rsidP="00554B0E">
      <w:pPr>
        <w:pStyle w:val="FirstParagraph"/>
        <w:jc w:val="both"/>
      </w:pPr>
      <w:r>
        <w:t xml:space="preserve">For the MODIS ET data product, starting from C6.1 MOD16, we have introduced an </w:t>
      </w:r>
      <w:proofErr w:type="spellStart"/>
      <w:r>
        <w:t>fPAR</w:t>
      </w:r>
      <w:proofErr w:type="spellEnd"/>
      <w:r>
        <w:t xml:space="preserve">/LAI climatology and named it as MCD15A2HCL. The data from MCD15A2HCL are used as backup input to replace low quality (low-QC) </w:t>
      </w:r>
      <w:proofErr w:type="spellStart"/>
      <w:r>
        <w:t>fPAR</w:t>
      </w:r>
      <w:proofErr w:type="spellEnd"/>
      <w:r>
        <w:t xml:space="preserve">/LAI values in each pixel in MOD15A2H or MYD15A2H for the corresponding 8-day periods. MCD15A2HCL is the average of the best </w:t>
      </w:r>
      <w:proofErr w:type="spellStart"/>
      <w:r>
        <w:t>fPAR</w:t>
      </w:r>
      <w:proofErr w:type="spellEnd"/>
      <w:r>
        <w:t>/LAI value for a given vegetated pixel for the</w:t>
      </w:r>
      <w:r w:rsidR="002B5459">
        <w:t xml:space="preserve"> given</w:t>
      </w:r>
      <w:r>
        <w:t xml:space="preserve"> 8-day </w:t>
      </w:r>
      <w:r w:rsidR="002B5459">
        <w:t xml:space="preserve">period </w:t>
      </w:r>
      <w:r>
        <w:t xml:space="preserve">across the past 5 years, based on the data quality flags from both MOD15A2H and MYD15A2H. If there are no reliable </w:t>
      </w:r>
      <w:proofErr w:type="spellStart"/>
      <w:r>
        <w:t>fPAR</w:t>
      </w:r>
      <w:proofErr w:type="spellEnd"/>
      <w:r>
        <w:t xml:space="preserve">/LAI data available for an 8-day period across all 5 years, the gap-filling method proposed by Zhao et al. (2005) is used. We chose a 5-year span because this is the time span for global climate fluctuations, such as the El Niño- Southern Oscillation (ENSO); and because ENSO has significant impacts on vegetation growth and other biosphere activities (Keeling et al., 1995; </w:t>
      </w:r>
      <w:proofErr w:type="spellStart"/>
      <w:r>
        <w:t>Nemani</w:t>
      </w:r>
      <w:proofErr w:type="spellEnd"/>
      <w:r>
        <w:t xml:space="preserve"> et al., 2003; Du et al., 2021). A longer time span may result in an unrealistic </w:t>
      </w:r>
      <w:proofErr w:type="spellStart"/>
      <w:r>
        <w:t>fPAR</w:t>
      </w:r>
      <w:proofErr w:type="spellEnd"/>
      <w:r>
        <w:t>/LAI climatology because averaging obscures vegetation greenness changes caused by ecosystem disturbances/recoveries or land-use/land-cover change (</w:t>
      </w:r>
      <w:proofErr w:type="spellStart"/>
      <w:r>
        <w:t>Mildrexler</w:t>
      </w:r>
      <w:proofErr w:type="spellEnd"/>
      <w:r>
        <w:t xml:space="preserve"> et al., 2007; </w:t>
      </w:r>
      <w:proofErr w:type="spellStart"/>
      <w:r>
        <w:t>Mildrexler</w:t>
      </w:r>
      <w:proofErr w:type="spellEnd"/>
      <w:r>
        <w:t xml:space="preserve"> et al., 2009; Song et al. 2018). For C2 VNP16 and VJ116 forward data products, we still use the MODIS MCD15A2HCL as a backup </w:t>
      </w:r>
      <w:proofErr w:type="spellStart"/>
      <w:r>
        <w:t>fPAR</w:t>
      </w:r>
      <w:proofErr w:type="spellEnd"/>
      <w:r>
        <w:t>/LAI source to replace those values with poor quality from VNP15A2H (or VJ115A2H)</w:t>
      </w:r>
      <w:r w:rsidR="002B5459">
        <w:t xml:space="preserve"> given the general cross-product consistency</w:t>
      </w:r>
      <w:r w:rsidR="00554B0E">
        <w:t xml:space="preserve"> (Xu et al., 2018)</w:t>
      </w:r>
      <w:r>
        <w:t xml:space="preserve">. </w:t>
      </w:r>
      <w:r w:rsidR="005B1BC6">
        <w:t xml:space="preserve">However, we </w:t>
      </w:r>
      <w:r>
        <w:t xml:space="preserve">plan to use VIIRS climatology </w:t>
      </w:r>
      <w:proofErr w:type="spellStart"/>
      <w:r>
        <w:t>fPAR</w:t>
      </w:r>
      <w:proofErr w:type="spellEnd"/>
      <w:r>
        <w:t>/LAI for VIIRS ET/PET data products in the future.</w:t>
      </w:r>
    </w:p>
    <w:p w14:paraId="48B57312" w14:textId="77777777" w:rsidR="00031310" w:rsidRDefault="00031310">
      <w:pPr>
        <w:pStyle w:val="FirstParagraph"/>
      </w:pPr>
    </w:p>
    <w:p w14:paraId="740C56D2" w14:textId="77777777" w:rsidR="00031310" w:rsidRDefault="00EA4C4E">
      <w:pPr>
        <w:ind w:left="0"/>
      </w:pPr>
      <w:bookmarkStart w:id="52" w:name="fig%2525253AGapFilling"/>
      <w:r>
        <w:rPr>
          <w:noProof/>
        </w:rPr>
        <w:lastRenderedPageBreak/>
        <w:drawing>
          <wp:inline distT="0" distB="0" distL="0" distR="0" wp14:anchorId="7168A0F8" wp14:editId="55F42F3F">
            <wp:extent cx="5943600" cy="5276215"/>
            <wp:effectExtent l="0" t="0" r="0" b="0"/>
            <wp:docPr id="4" name="Image2" descr="Figure 3: The diagram shows how fPAR from VNP15A2H and 5-year climatology MCD15A2HCL are combined to fill the gaps of contaminated fPAR in VNP15A2H using backup fPAR from MCD15A2HCL to enhance the forward VNP16 for two tiles H11V08 (Amazon) and H25V04 (Mongolia). Compared to the original fPAR from MOD15A2H, the combined fPAR is enhanced more for H11V08 in cloudy Amazon (78.2% replacement) than H25V04 (40.9% replacement) in clear Mongo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Figure 3: The diagram shows how fPAR from VNP15A2H and 5-year climatology MCD15A2HCL are combined to fill the gaps of contaminated fPAR in VNP15A2H using backup fPAR from MCD15A2HCL to enhance the forward VNP16 for two tiles H11V08 (Amazon) and H25V04 (Mongolia). Compared to the original fPAR from MOD15A2H, the combined fPAR is enhanced more for H11V08 in cloudy Amazon (78.2% replacement) than H25V04 (40.9% replacement) in clear Mongolia."/>
                    <pic:cNvPicPr>
                      <a:picLocks noChangeAspect="1" noChangeArrowheads="1"/>
                    </pic:cNvPicPr>
                  </pic:nvPicPr>
                  <pic:blipFill>
                    <a:blip r:embed="rId16"/>
                    <a:stretch>
                      <a:fillRect/>
                    </a:stretch>
                  </pic:blipFill>
                  <pic:spPr bwMode="auto">
                    <a:xfrm>
                      <a:off x="0" y="0"/>
                      <a:ext cx="5943600" cy="5276215"/>
                    </a:xfrm>
                    <a:prstGeom prst="rect">
                      <a:avLst/>
                    </a:prstGeom>
                  </pic:spPr>
                </pic:pic>
              </a:graphicData>
            </a:graphic>
          </wp:inline>
        </w:drawing>
      </w:r>
      <w:bookmarkEnd w:id="52"/>
    </w:p>
    <w:p w14:paraId="186BBBF7" w14:textId="389E4C59" w:rsidR="00031310" w:rsidRDefault="00EA4C4E" w:rsidP="00554B0E">
      <w:pPr>
        <w:pStyle w:val="ImageCaption"/>
        <w:jc w:val="both"/>
      </w:pPr>
      <w:r>
        <w:t xml:space="preserve">Figure 3: The diagram shows how </w:t>
      </w:r>
      <w:proofErr w:type="spellStart"/>
      <w:r>
        <w:t>fPAR</w:t>
      </w:r>
      <w:proofErr w:type="spellEnd"/>
      <w:r>
        <w:t xml:space="preserve"> from VNP15A2H and 5-year climatology MCD15A2HCL are combined to fill the gaps of contaminated </w:t>
      </w:r>
      <w:proofErr w:type="spellStart"/>
      <w:r>
        <w:t>fPAR</w:t>
      </w:r>
      <w:proofErr w:type="spellEnd"/>
      <w:r>
        <w:t xml:space="preserve"> in VNP15A2H using backup </w:t>
      </w:r>
      <w:proofErr w:type="spellStart"/>
      <w:r>
        <w:t>fPAR</w:t>
      </w:r>
      <w:proofErr w:type="spellEnd"/>
      <w:r>
        <w:t xml:space="preserve"> from MCD15A2HCL to enhance the forward VNP16 for two tiles H11V08 (Amazon) and H25V04 (Mongolia). Compared to the original </w:t>
      </w:r>
      <w:proofErr w:type="spellStart"/>
      <w:r>
        <w:t>fPAR</w:t>
      </w:r>
      <w:proofErr w:type="spellEnd"/>
      <w:r>
        <w:t xml:space="preserve"> from </w:t>
      </w:r>
      <w:r w:rsidR="00554B0E">
        <w:t>VNP</w:t>
      </w:r>
      <w:r>
        <w:t xml:space="preserve">15A2H, the combined </w:t>
      </w:r>
      <w:proofErr w:type="spellStart"/>
      <w:r>
        <w:t>fPAR</w:t>
      </w:r>
      <w:proofErr w:type="spellEnd"/>
      <w:r>
        <w:t xml:space="preserve"> climatology is more impactful for H11V08 in the cloudy Amazon region (78.2% replacement) than for H25V04 (40.9% replacement) in Mongolia.</w:t>
      </w:r>
      <w:bookmarkStart w:id="53" w:name="fig%2525253AGapFilling1"/>
      <w:bookmarkEnd w:id="53"/>
    </w:p>
    <w:p w14:paraId="7816A800" w14:textId="0C440760" w:rsidR="00031310" w:rsidRDefault="00EA4C4E" w:rsidP="00554B0E">
      <w:pPr>
        <w:pStyle w:val="BodyText"/>
        <w:spacing w:before="120"/>
        <w:ind w:firstLine="432"/>
        <w:jc w:val="both"/>
      </w:pPr>
      <w:r>
        <w:t xml:space="preserve">Figure </w:t>
      </w:r>
      <w:r w:rsidR="00554B0E" w:rsidRPr="00554B0E">
        <w:t>3,</w:t>
      </w:r>
      <w:r>
        <w:t xml:space="preserve"> using </w:t>
      </w:r>
      <w:proofErr w:type="spellStart"/>
      <w:r>
        <w:t>fPAR</w:t>
      </w:r>
      <w:proofErr w:type="spellEnd"/>
      <w:r>
        <w:t xml:space="preserve"> as an example, shows how the VNP16A2 process combines 8-day VNP15A2H with the corresponding 8-day climatology MCD15A2HCL to fill gaps </w:t>
      </w:r>
      <w:r w:rsidR="005B1BC6">
        <w:t xml:space="preserve">from </w:t>
      </w:r>
      <w:r>
        <w:t xml:space="preserve">contaminated </w:t>
      </w:r>
      <w:proofErr w:type="spellStart"/>
      <w:r>
        <w:t>fPAR</w:t>
      </w:r>
      <w:proofErr w:type="spellEnd"/>
      <w:r>
        <w:t xml:space="preserve">/LAI for ET and PET calculations. For a given vegetated pixel, if </w:t>
      </w:r>
      <w:proofErr w:type="spellStart"/>
      <w:r>
        <w:t>fPAR</w:t>
      </w:r>
      <w:proofErr w:type="spellEnd"/>
      <w:r>
        <w:t>/LAI from VNP15A2H are contaminated</w:t>
      </w:r>
      <w:r w:rsidR="005B1BC6">
        <w:t xml:space="preserve"> (low QC)</w:t>
      </w:r>
      <w:r>
        <w:t xml:space="preserve">, the corresponding climatology </w:t>
      </w:r>
      <w:proofErr w:type="spellStart"/>
      <w:r>
        <w:t>fPAR</w:t>
      </w:r>
      <w:proofErr w:type="spellEnd"/>
      <w:r>
        <w:t xml:space="preserve">/LAI will be used to replace the contaminated values for </w:t>
      </w:r>
      <w:r w:rsidR="005B1BC6">
        <w:t xml:space="preserve">the ET </w:t>
      </w:r>
      <w:r>
        <w:t>calculations. We use two tiles: H11V08 (in Amazon) and H25V04 (in Mongolia) as examples. Figure</w:t>
      </w:r>
      <w:r w:rsidR="00554B0E">
        <w:t xml:space="preserve"> 3 </w:t>
      </w:r>
      <w:r>
        <w:t xml:space="preserve">shows how the combination of VNP15A2H and MCD15A2HCL generally results in higher </w:t>
      </w:r>
      <w:proofErr w:type="spellStart"/>
      <w:r>
        <w:t>fPAR</w:t>
      </w:r>
      <w:proofErr w:type="spellEnd"/>
      <w:r>
        <w:t xml:space="preserve"> values for H11V08, but only a slight increase in </w:t>
      </w:r>
      <w:proofErr w:type="spellStart"/>
      <w:r>
        <w:t>fPAR</w:t>
      </w:r>
      <w:proofErr w:type="spellEnd"/>
      <w:r>
        <w:t xml:space="preserve"> for H25V04. This is because the Amazon region is frequently cloud-covered, while Mongolia’s dry climate leads to clear conditions most of the time. For the Amazon </w:t>
      </w:r>
      <w:r>
        <w:lastRenderedPageBreak/>
        <w:t xml:space="preserve">tile, during this 8-day span starting on day-of-year 81 in 2018, 78.21% of vegetated pixels had low data quality and were replaced by the climatology values. In contrast, only 40.88% of vegetated pixels in the Mongolia tile are replaced during the 8-day span starting on day-of-year 177 in 2018. Currently, VNP16 uses a 5-year </w:t>
      </w:r>
      <w:r w:rsidR="005B1BC6">
        <w:t xml:space="preserve">clear-sky </w:t>
      </w:r>
      <w:r>
        <w:t xml:space="preserve">climatology </w:t>
      </w:r>
      <w:r w:rsidR="005B1BC6">
        <w:t xml:space="preserve">derived </w:t>
      </w:r>
      <w:r>
        <w:t>from</w:t>
      </w:r>
      <w:r w:rsidR="005B1BC6">
        <w:t xml:space="preserve"> the</w:t>
      </w:r>
      <w:r>
        <w:t xml:space="preserve"> MODIS MCD15A2HCL</w:t>
      </w:r>
      <w:r w:rsidR="005B1BC6">
        <w:t xml:space="preserve"> record, while</w:t>
      </w:r>
      <w:r>
        <w:t xml:space="preserve"> </w:t>
      </w:r>
      <w:r w:rsidR="005B1BC6">
        <w:t>a VIIRS</w:t>
      </w:r>
      <w:r>
        <w:t xml:space="preserve"> </w:t>
      </w:r>
      <w:proofErr w:type="spellStart"/>
      <w:r>
        <w:t>fPAR</w:t>
      </w:r>
      <w:proofErr w:type="spellEnd"/>
      <w:r>
        <w:t xml:space="preserve">/LAI climatology </w:t>
      </w:r>
      <w:r w:rsidR="005B1BC6">
        <w:t>is planned for use in future ET product releases</w:t>
      </w:r>
      <w:r>
        <w:t>.</w:t>
      </w:r>
    </w:p>
    <w:p w14:paraId="18380DD3" w14:textId="77777777" w:rsidR="00031310" w:rsidRDefault="00031310">
      <w:pPr>
        <w:pStyle w:val="BodyText"/>
      </w:pPr>
    </w:p>
    <w:p w14:paraId="39771B03" w14:textId="77777777" w:rsidR="00031310" w:rsidRDefault="00EA4C4E">
      <w:pPr>
        <w:ind w:left="0"/>
      </w:pPr>
      <w:bookmarkStart w:id="54" w:name="fig%2525253AGapFilling2"/>
      <w:r>
        <w:rPr>
          <w:noProof/>
        </w:rPr>
        <w:drawing>
          <wp:inline distT="0" distB="0" distL="0" distR="0" wp14:anchorId="13C5661F" wp14:editId="16EB6BC3">
            <wp:extent cx="5906770" cy="1444625"/>
            <wp:effectExtent l="0" t="0" r="0" b="0"/>
            <wp:docPr id="5" name="Image3" descr="Figure 4: Comparison of ET from C6 MOD16A2 (left panel) with that from C6.1 (right panel) for two tiles of H11V08 (in Amazon) and H25V04 (in Mongolia). C6.1 now has much higher quality because data gaps caused by cloud contamination have been filled using climatology fPAR as input. Additionally, gap-filled albedo also plays a role in enhancing the ET data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descr="Figure 4: Comparison of ET from C6 MOD16A2 (left panel) with that from C6.1 (right panel) for two tiles of H11V08 (in Amazon) and H25V04 (in Mongolia). C6.1 now has much higher quality because data gaps caused by cloud contamination have been filled using climatology fPAR as input. Additionally, gap-filled albedo also plays a role in enhancing the ET data quality."/>
                    <pic:cNvPicPr>
                      <a:picLocks noChangeAspect="1" noChangeArrowheads="1"/>
                    </pic:cNvPicPr>
                  </pic:nvPicPr>
                  <pic:blipFill>
                    <a:blip r:embed="rId17"/>
                    <a:stretch>
                      <a:fillRect/>
                    </a:stretch>
                  </pic:blipFill>
                  <pic:spPr bwMode="auto">
                    <a:xfrm>
                      <a:off x="0" y="0"/>
                      <a:ext cx="5906770" cy="1444625"/>
                    </a:xfrm>
                    <a:prstGeom prst="rect">
                      <a:avLst/>
                    </a:prstGeom>
                  </pic:spPr>
                </pic:pic>
              </a:graphicData>
            </a:graphic>
          </wp:inline>
        </w:drawing>
      </w:r>
      <w:bookmarkEnd w:id="54"/>
    </w:p>
    <w:p w14:paraId="2954273F" w14:textId="57AE2EEE" w:rsidR="00031310" w:rsidRDefault="00EA4C4E" w:rsidP="004E5AD7">
      <w:pPr>
        <w:pStyle w:val="ImageCaption"/>
        <w:jc w:val="both"/>
      </w:pPr>
      <w:r>
        <w:t xml:space="preserve">Figure 4: Comparison of ET from C6 MOD16A2 (left panel) with that from C6.1 (right panel) for two </w:t>
      </w:r>
      <w:r w:rsidR="005B1BC6">
        <w:t xml:space="preserve">selected </w:t>
      </w:r>
      <w:r>
        <w:t>tiles</w:t>
      </w:r>
      <w:r w:rsidR="005B1BC6">
        <w:t>:</w:t>
      </w:r>
      <w:r>
        <w:t xml:space="preserve"> H11V08 (in Amazon) and H25V04 (in Mongolia). C6.1 quality is improved because data gaps caused by cloud contamination have been filled using climatology </w:t>
      </w:r>
      <w:proofErr w:type="spellStart"/>
      <w:r>
        <w:t>fPAR</w:t>
      </w:r>
      <w:proofErr w:type="spellEnd"/>
      <w:r w:rsidR="004E5AD7">
        <w:t>/LAI</w:t>
      </w:r>
      <w:r w:rsidR="005B1BC6">
        <w:t>, especially in the relatively cloudy Amazon region</w:t>
      </w:r>
      <w:r>
        <w:t>. Additionally, gap-filled albedo also plays a role in enhancing the ET data quality.</w:t>
      </w:r>
      <w:bookmarkStart w:id="55" w:name="fig%2525253AGapFilling21"/>
      <w:bookmarkEnd w:id="55"/>
    </w:p>
    <w:p w14:paraId="1C72579B" w14:textId="687095B7" w:rsidR="00031310" w:rsidRDefault="00EA4C4E" w:rsidP="004E5AD7">
      <w:pPr>
        <w:pStyle w:val="BodyText"/>
        <w:spacing w:before="120"/>
        <w:ind w:firstLine="432"/>
        <w:jc w:val="both"/>
      </w:pPr>
      <w:r>
        <w:t xml:space="preserve">Figure </w:t>
      </w:r>
      <w:r w:rsidR="004E5AD7">
        <w:t xml:space="preserve">4 </w:t>
      </w:r>
      <w:r>
        <w:t xml:space="preserve">is directly copied from the MODIS ET/PET C6.1 User Guide and shows the comparison of C6 and C6.1 MOD16A2H for the same two tiles: H11V08 in Amazon and H25V04 in Mongolia. Again, the relatively humid Amazon tile has many more data gaps than the relatively dry Mongolian tile; the large white area shown in the southern half of the Mongolian tile is almost entirely due to non-vegetated land pixels rather than cloud cover. C6.1 fills many “missing” ET/PET values in C6 for cloudy Amazonian tile by using </w:t>
      </w:r>
      <w:r w:rsidR="005B1BC6">
        <w:t xml:space="preserve">the </w:t>
      </w:r>
      <w:r>
        <w:t xml:space="preserve">MCD15A2HCL </w:t>
      </w:r>
      <w:r w:rsidR="005B1BC6">
        <w:t xml:space="preserve">climatology </w:t>
      </w:r>
      <w:r>
        <w:t xml:space="preserve">to fill low-quality or missing </w:t>
      </w:r>
      <w:proofErr w:type="spellStart"/>
      <w:r>
        <w:t>fPAR</w:t>
      </w:r>
      <w:proofErr w:type="spellEnd"/>
      <w:r>
        <w:t xml:space="preserve">/LAI values, resulting in “full,” higher-quality forward MOD16A2H data products. Moreover, starting from C6.1, the introduction of snow-free, gap-filled MODIS albedo (Sun et al., 2017) to fill missing albedo values (under poor atmospheric conditions) further enhanced the quality of MODIS forward ET/PET data products. VIIRS C2 forward ET/PET </w:t>
      </w:r>
      <w:r w:rsidR="005B1BC6">
        <w:t xml:space="preserve">processing </w:t>
      </w:r>
      <w:r>
        <w:t>follow</w:t>
      </w:r>
      <w:r w:rsidR="005B1BC6">
        <w:t>s</w:t>
      </w:r>
      <w:r>
        <w:t xml:space="preserve"> the same method: using MODIS climatology </w:t>
      </w:r>
      <w:proofErr w:type="spellStart"/>
      <w:r>
        <w:t>fPAR</w:t>
      </w:r>
      <w:proofErr w:type="spellEnd"/>
      <w:r>
        <w:t xml:space="preserve">/LAI and snow-free, gap-filled MODIS albedo to replace low-quality VIIRS </w:t>
      </w:r>
      <w:proofErr w:type="spellStart"/>
      <w:r>
        <w:t>fPAR</w:t>
      </w:r>
      <w:proofErr w:type="spellEnd"/>
      <w:r>
        <w:t xml:space="preserve">/LAI </w:t>
      </w:r>
      <w:r w:rsidR="004E5AD7">
        <w:t xml:space="preserve">and albedo </w:t>
      </w:r>
      <w:r>
        <w:t>values</w:t>
      </w:r>
      <w:r w:rsidR="005B1BC6">
        <w:t xml:space="preserve"> for the daily ET calculations</w:t>
      </w:r>
      <w:r>
        <w:t xml:space="preserve">. In the future, we will use VIIRS-based climatology </w:t>
      </w:r>
      <w:proofErr w:type="spellStart"/>
      <w:r>
        <w:t>fPAR</w:t>
      </w:r>
      <w:proofErr w:type="spellEnd"/>
      <w:r>
        <w:t>/LAI and snow-free, gap-filled albedo so that all dynamic remote sensing inputs will be from VIIRS.</w:t>
      </w:r>
    </w:p>
    <w:p w14:paraId="6997A63B" w14:textId="4172A9A5" w:rsidR="00031310" w:rsidRDefault="00EA4C4E">
      <w:pPr>
        <w:pStyle w:val="Heading3"/>
      </w:pPr>
      <w:bookmarkStart w:id="56" w:name="_Toc181041694"/>
      <w:r>
        <w:t xml:space="preserve">4.4.2 </w:t>
      </w:r>
      <w:bookmarkStart w:id="57" w:name="year-end-gap-filled-vnp16a23gf"/>
      <w:r>
        <w:t>Year-end Gap-filled VNP16A2[3]GF</w:t>
      </w:r>
      <w:bookmarkEnd w:id="56"/>
      <w:bookmarkEnd w:id="57"/>
    </w:p>
    <w:p w14:paraId="79D105DD" w14:textId="4D273861" w:rsidR="00031310" w:rsidRDefault="00EA4C4E" w:rsidP="0040723A">
      <w:pPr>
        <w:pStyle w:val="FirstParagraph"/>
        <w:jc w:val="both"/>
      </w:pPr>
      <w:r>
        <w:t xml:space="preserve">At the end of each year, we address the issue of the contaminated VIIRS </w:t>
      </w:r>
      <w:proofErr w:type="spellStart"/>
      <w:r>
        <w:t>fPAR</w:t>
      </w:r>
      <w:proofErr w:type="spellEnd"/>
      <w:r>
        <w:t xml:space="preserve">/LAI inputs to VNP16A2[3]GF in a more robust fashion than the climatology-filling used in the 8-day forward product (described above). First, we remove low-quality </w:t>
      </w:r>
      <w:proofErr w:type="spellStart"/>
      <w:r>
        <w:t>fPAR</w:t>
      </w:r>
      <w:proofErr w:type="spellEnd"/>
      <w:r>
        <w:t xml:space="preserve"> and LAI data, based on the QC label for every pixel. If any </w:t>
      </w:r>
      <w:proofErr w:type="spellStart"/>
      <w:r>
        <w:t>fPAR</w:t>
      </w:r>
      <w:proofErr w:type="spellEnd"/>
      <w:r w:rsidR="0040723A">
        <w:t>/LAI</w:t>
      </w:r>
      <w:r>
        <w:t xml:space="preserve"> pixel did not meet the quality screening criteria, its value is determined through linear interpolation between the previous period’s value and that of the next period to pass the screening process (Zhao et a., 2005; Mu et al., 2007). As a result of this gap-filling, under most conditions, 8-day composited ET will increase because </w:t>
      </w:r>
      <w:proofErr w:type="spellStart"/>
      <w:r>
        <w:t>fPAR</w:t>
      </w:r>
      <w:proofErr w:type="spellEnd"/>
      <w:r>
        <w:t xml:space="preserve"> and LAI generally increase, implying more vegetation cover and more leaves.</w:t>
      </w:r>
    </w:p>
    <w:p w14:paraId="62DAE6B8" w14:textId="28F1BEF4" w:rsidR="00031310" w:rsidRDefault="00EA4C4E" w:rsidP="00CF0D36">
      <w:pPr>
        <w:pStyle w:val="BodyText"/>
        <w:spacing w:before="120"/>
        <w:ind w:firstLine="432"/>
        <w:jc w:val="both"/>
      </w:pPr>
      <w:r>
        <w:lastRenderedPageBreak/>
        <w:t xml:space="preserve">To further demonstrate how </w:t>
      </w:r>
      <w:r w:rsidR="00DB7A7D">
        <w:t xml:space="preserve">the </w:t>
      </w:r>
      <w:r>
        <w:t xml:space="preserve">year-end gap-filling method improves the data quality, we again compare two tiles (Figure 5): 1) H11V08 (left sub-panel) </w:t>
      </w:r>
      <w:r w:rsidR="00DB7A7D">
        <w:t>representing</w:t>
      </w:r>
      <w:r>
        <w:t xml:space="preserve"> </w:t>
      </w:r>
      <w:r w:rsidR="00DB7A7D">
        <w:t xml:space="preserve">an </w:t>
      </w:r>
      <w:r>
        <w:t>Amazon</w:t>
      </w:r>
      <w:r w:rsidR="00DB7A7D">
        <w:t xml:space="preserve"> sub-region</w:t>
      </w:r>
      <w:r>
        <w:t xml:space="preserve"> with frequent cloudiness (major land cover type is evergreen broadleaf forest); and 2) H25V04 (right sub-panel)</w:t>
      </w:r>
      <w:r w:rsidR="00DB7A7D">
        <w:t xml:space="preserve"> representing a relatively clear-sky region</w:t>
      </w:r>
      <w:r>
        <w:t xml:space="preserve"> in Mongolia (major land cover types are grassland and barren). We show only </w:t>
      </w:r>
      <w:proofErr w:type="spellStart"/>
      <w:r>
        <w:t>fPAR</w:t>
      </w:r>
      <w:proofErr w:type="spellEnd"/>
      <w:r>
        <w:t>, here, because LAI has a very similar pattern. For VNP16 (Figure 6), we show only ET because changes in LE, PET and PLE have similar spatial patterns to ET.</w:t>
      </w:r>
    </w:p>
    <w:p w14:paraId="02D20F5E" w14:textId="77777777" w:rsidR="00031310" w:rsidRDefault="00031310">
      <w:pPr>
        <w:pStyle w:val="BodyText"/>
      </w:pPr>
    </w:p>
    <w:p w14:paraId="4FA4398D" w14:textId="77777777" w:rsidR="00031310" w:rsidRDefault="00EA4C4E">
      <w:pPr>
        <w:ind w:left="0"/>
      </w:pPr>
      <w:bookmarkStart w:id="58" w:name="fig%2525253AGapFilling3"/>
      <w:r>
        <w:rPr>
          <w:noProof/>
        </w:rPr>
        <w:drawing>
          <wp:inline distT="0" distB="0" distL="0" distR="0" wp14:anchorId="6091C9AA" wp14:editId="53F276F1">
            <wp:extent cx="5824855" cy="1371600"/>
            <wp:effectExtent l="0" t="0" r="0" b="0"/>
            <wp:docPr id="6" name="Image4" descr="Figure 5: Comparisons of 8-day combined fPAR of VNP15A2H and MCD15A2HCL (left panel) with the year-end gap-filled (right panel) for two tiles Amazonia H11V08 and Mongolian H25V04. The overall minor differences in the mean reveal the powerful effects of the combination method on the improvements of fPAR. But year-end gap-filled still be the last choice data as it contains more realistic vegetation dynamics for the 8-day in tha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descr="Figure 5: Comparisons of 8-day combined fPAR of VNP15A2H and MCD15A2HCL (left panel) with the year-end gap-filled (right panel) for two tiles Amazonia H11V08 and Mongolian H25V04. The overall minor differences in the mean reveal the powerful effects of the combination method on the improvements of fPAR. But year-end gap-filled still be the last choice data as it contains more realistic vegetation dynamics for the 8-day in that year."/>
                    <pic:cNvPicPr>
                      <a:picLocks noChangeAspect="1" noChangeArrowheads="1"/>
                    </pic:cNvPicPr>
                  </pic:nvPicPr>
                  <pic:blipFill>
                    <a:blip r:embed="rId18"/>
                    <a:stretch>
                      <a:fillRect/>
                    </a:stretch>
                  </pic:blipFill>
                  <pic:spPr bwMode="auto">
                    <a:xfrm>
                      <a:off x="0" y="0"/>
                      <a:ext cx="5824855" cy="1371600"/>
                    </a:xfrm>
                    <a:prstGeom prst="rect">
                      <a:avLst/>
                    </a:prstGeom>
                  </pic:spPr>
                </pic:pic>
              </a:graphicData>
            </a:graphic>
          </wp:inline>
        </w:drawing>
      </w:r>
      <w:bookmarkEnd w:id="58"/>
    </w:p>
    <w:p w14:paraId="6A40BD19" w14:textId="7F0A85BA" w:rsidR="00031310" w:rsidRDefault="00EA4C4E" w:rsidP="00F64960">
      <w:pPr>
        <w:pStyle w:val="ImageCaption"/>
        <w:jc w:val="both"/>
      </w:pPr>
      <w:r>
        <w:t xml:space="preserve">Figure 5: Comparisons of 8-day combined </w:t>
      </w:r>
      <w:proofErr w:type="spellStart"/>
      <w:r>
        <w:t>fPAR</w:t>
      </w:r>
      <w:proofErr w:type="spellEnd"/>
      <w:r>
        <w:t xml:space="preserve"> of VNP15A2H and MCD15A2HCL (left panel) with the year-end gap-filled products (right panel) for two tiles</w:t>
      </w:r>
      <w:r w:rsidR="00DB7A7D">
        <w:t>:</w:t>
      </w:r>
      <w:r>
        <w:t xml:space="preserve"> Amazonia H11V08 and Mongolia H25V04. </w:t>
      </w:r>
      <w:bookmarkStart w:id="59" w:name="fig%2525253AGapFilling31"/>
      <w:bookmarkEnd w:id="59"/>
      <w:r w:rsidR="00DB7A7D">
        <w:t>The year-end,</w:t>
      </w:r>
      <w:r>
        <w:t xml:space="preserve"> gap-filled </w:t>
      </w:r>
      <w:proofErr w:type="spellStart"/>
      <w:r>
        <w:t>fPAR</w:t>
      </w:r>
      <w:proofErr w:type="spellEnd"/>
      <w:r>
        <w:t xml:space="preserve">/LAI </w:t>
      </w:r>
      <w:r w:rsidR="00DB7A7D">
        <w:t xml:space="preserve">record </w:t>
      </w:r>
      <w:r>
        <w:t>display</w:t>
      </w:r>
      <w:r w:rsidR="00DB7A7D">
        <w:t>s</w:t>
      </w:r>
      <w:r>
        <w:t xml:space="preserve"> more realistic vegetation dynamics</w:t>
      </w:r>
      <w:r w:rsidR="00DB7A7D">
        <w:t xml:space="preserve">, especially in areas (e.g. cloudy regions) with a greater frequency of lower quality </w:t>
      </w:r>
      <w:proofErr w:type="spellStart"/>
      <w:r w:rsidR="00DB7A7D">
        <w:t>fPAR</w:t>
      </w:r>
      <w:proofErr w:type="spellEnd"/>
      <w:r w:rsidR="00DB7A7D">
        <w:t>/LAI retrievals, which improves ET performance</w:t>
      </w:r>
      <w:r>
        <w:t>.</w:t>
      </w:r>
      <w:bookmarkStart w:id="60" w:name="fig%2525253AGapFilling512"/>
      <w:bookmarkEnd w:id="60"/>
    </w:p>
    <w:p w14:paraId="50A367FC" w14:textId="4169B611" w:rsidR="00031310" w:rsidRDefault="00EA4C4E" w:rsidP="00F64960">
      <w:pPr>
        <w:pStyle w:val="BodyText"/>
        <w:spacing w:before="120"/>
        <w:ind w:firstLine="432"/>
        <w:jc w:val="both"/>
      </w:pPr>
      <w:r>
        <w:t xml:space="preserve">As shown in Figures </w:t>
      </w:r>
      <w:r w:rsidR="00F64960">
        <w:t xml:space="preserve">3 </w:t>
      </w:r>
      <w:r>
        <w:t xml:space="preserve">and </w:t>
      </w:r>
      <w:r w:rsidR="00F64960">
        <w:t>5,</w:t>
      </w:r>
      <w:r>
        <w:t xml:space="preserve"> due to the frequent cloudiness in an 8-day period of 2003081, some </w:t>
      </w:r>
      <w:proofErr w:type="spellStart"/>
      <w:r>
        <w:t>fPAR</w:t>
      </w:r>
      <w:proofErr w:type="spellEnd"/>
      <w:r>
        <w:t xml:space="preserve"> retrievals in the Amazon tile H11V08 are contaminated with unrealistically low values; we call these errors in </w:t>
      </w:r>
      <w:proofErr w:type="spellStart"/>
      <w:r>
        <w:t>fPAR</w:t>
      </w:r>
      <w:proofErr w:type="spellEnd"/>
      <w:r>
        <w:t xml:space="preserve"> retrievals “gaps” in the time series for a given pixel. At the end of each year, when all 46 8-day VNP15A2H </w:t>
      </w:r>
      <w:r w:rsidR="00D56688">
        <w:t xml:space="preserve">values </w:t>
      </w:r>
      <w:r>
        <w:t>are available</w:t>
      </w:r>
      <w:r w:rsidR="00D56688">
        <w:t xml:space="preserve"> for a given pixel</w:t>
      </w:r>
      <w:r>
        <w:t xml:space="preserve">, the year-end, interpolated </w:t>
      </w:r>
      <w:proofErr w:type="spellStart"/>
      <w:r>
        <w:t>fPAR</w:t>
      </w:r>
      <w:proofErr w:type="spellEnd"/>
      <w:r>
        <w:t xml:space="preserve">/LAI values are used to fill these gaps, resulting in more reliable, gap-filled </w:t>
      </w:r>
      <w:proofErr w:type="spellStart"/>
      <w:r>
        <w:t>fPAR</w:t>
      </w:r>
      <w:proofErr w:type="spellEnd"/>
      <w:r>
        <w:t xml:space="preserve">/LAI images. We named this intermediate, gap-filled </w:t>
      </w:r>
      <w:proofErr w:type="spellStart"/>
      <w:r>
        <w:t>fPAR</w:t>
      </w:r>
      <w:proofErr w:type="spellEnd"/>
      <w:r>
        <w:t xml:space="preserve">/LAI product as VNP15A2HGF. When using pixels of VNP15A2HGF (VJ115A2HGF) to replace low-quality pixels in VNP15A2H (VJ115A2H) during VNP16 (VJ116) reprocessing, the result is 8-day VNP16A2GF (VJ116A2GF) and annual VNP16A3GF (VJ116A3GF). As depicted in Figures </w:t>
      </w:r>
      <w:r w:rsidR="00F64960">
        <w:t xml:space="preserve">6 </w:t>
      </w:r>
      <w:r>
        <w:t xml:space="preserve">and </w:t>
      </w:r>
      <w:r w:rsidR="00F64960">
        <w:t>7,</w:t>
      </w:r>
      <w:r>
        <w:t xml:space="preserve"> coverage in both the 8-day VNP16A2GF and annual VNP16A3GF products are improved. As mentioned earlier, no forward annual A3 ET data products </w:t>
      </w:r>
      <w:r w:rsidR="00D56688">
        <w:t xml:space="preserve">are produced from the </w:t>
      </w:r>
      <w:r>
        <w:t>VNP16A3 (VJ116A3)</w:t>
      </w:r>
      <w:r w:rsidR="00D56688">
        <w:t xml:space="preserve"> record and </w:t>
      </w:r>
      <w:r>
        <w:t xml:space="preserve">only </w:t>
      </w:r>
      <w:r w:rsidR="00D56688">
        <w:t xml:space="preserve">the </w:t>
      </w:r>
      <w:r>
        <w:t xml:space="preserve">gap-filled </w:t>
      </w:r>
      <w:r w:rsidR="00F64960">
        <w:t xml:space="preserve">annual </w:t>
      </w:r>
      <w:r>
        <w:t>VNP16A3GF (VJ116A3GF)</w:t>
      </w:r>
      <w:r w:rsidR="00D56688">
        <w:t xml:space="preserve"> product is available</w:t>
      </w:r>
      <w:r>
        <w:t>.</w:t>
      </w:r>
    </w:p>
    <w:p w14:paraId="3A9C3BB7" w14:textId="77777777" w:rsidR="00DF3B35" w:rsidRDefault="00DF3B35" w:rsidP="00F64960">
      <w:pPr>
        <w:pStyle w:val="BodyText"/>
        <w:spacing w:before="120"/>
        <w:ind w:firstLine="432"/>
        <w:jc w:val="both"/>
      </w:pPr>
    </w:p>
    <w:p w14:paraId="68FD209B" w14:textId="77777777" w:rsidR="00DF3B35" w:rsidRDefault="00DF3B35" w:rsidP="00F64960">
      <w:pPr>
        <w:pStyle w:val="BodyText"/>
        <w:spacing w:before="120"/>
        <w:ind w:firstLine="432"/>
        <w:jc w:val="both"/>
      </w:pPr>
    </w:p>
    <w:p w14:paraId="020261CA" w14:textId="77777777" w:rsidR="00DF3B35" w:rsidRDefault="00DF3B35" w:rsidP="00F64960">
      <w:pPr>
        <w:pStyle w:val="BodyText"/>
        <w:spacing w:before="120"/>
        <w:ind w:firstLine="432"/>
        <w:jc w:val="both"/>
      </w:pPr>
    </w:p>
    <w:p w14:paraId="10963945" w14:textId="77777777" w:rsidR="00DF3B35" w:rsidRDefault="00DF3B35" w:rsidP="00F64960">
      <w:pPr>
        <w:pStyle w:val="BodyText"/>
        <w:spacing w:before="120"/>
        <w:ind w:firstLine="432"/>
        <w:jc w:val="both"/>
      </w:pPr>
    </w:p>
    <w:p w14:paraId="450DE789" w14:textId="77777777" w:rsidR="00DF3B35" w:rsidRDefault="00DF3B35" w:rsidP="00F64960">
      <w:pPr>
        <w:pStyle w:val="BodyText"/>
        <w:spacing w:before="120"/>
        <w:ind w:firstLine="432"/>
        <w:jc w:val="both"/>
      </w:pPr>
    </w:p>
    <w:p w14:paraId="3F8469D1" w14:textId="77777777" w:rsidR="00DF3B35" w:rsidRDefault="00DF3B35" w:rsidP="00F64960">
      <w:pPr>
        <w:pStyle w:val="BodyText"/>
        <w:spacing w:before="120"/>
        <w:ind w:firstLine="432"/>
        <w:jc w:val="both"/>
      </w:pPr>
    </w:p>
    <w:p w14:paraId="016391BF" w14:textId="77777777" w:rsidR="00DF3B35" w:rsidRDefault="00DF3B35" w:rsidP="00F64960">
      <w:pPr>
        <w:pStyle w:val="BodyText"/>
        <w:spacing w:before="120"/>
        <w:ind w:firstLine="432"/>
        <w:jc w:val="both"/>
      </w:pPr>
    </w:p>
    <w:p w14:paraId="66009727" w14:textId="5A1DA0D7" w:rsidR="00DF3B35" w:rsidRDefault="00DE2604" w:rsidP="00F64960">
      <w:pPr>
        <w:pStyle w:val="BodyText"/>
        <w:spacing w:before="120"/>
        <w:ind w:firstLine="432"/>
        <w:jc w:val="both"/>
      </w:pPr>
      <w:bookmarkStart w:id="61" w:name="fig%2525253AGapFilling4"/>
      <w:r>
        <w:rPr>
          <w:noProof/>
        </w:rPr>
        <w:lastRenderedPageBreak/>
        <w:drawing>
          <wp:anchor distT="0" distB="0" distL="114300" distR="114300" simplePos="0" relativeHeight="251659264" behindDoc="0" locked="0" layoutInCell="1" allowOverlap="1" wp14:anchorId="17C9E2E1" wp14:editId="06F6002B">
            <wp:simplePos x="0" y="0"/>
            <wp:positionH relativeFrom="column">
              <wp:posOffset>-43180</wp:posOffset>
            </wp:positionH>
            <wp:positionV relativeFrom="paragraph">
              <wp:posOffset>95047</wp:posOffset>
            </wp:positionV>
            <wp:extent cx="3886200" cy="3575050"/>
            <wp:effectExtent l="0" t="0" r="0" b="6350"/>
            <wp:wrapNone/>
            <wp:docPr id="7" name="Image5" descr="Figure 6: Comparisons of 8-day ET from the forward VNP16A2 (upper panel) and year-end gap- filled VNP16A2GF (bottom panel) for two tiles. The closeness of the two estimated results indicates the effectiveness of using combined fPAR as input for the forward data products. Gap-filled is still the final choice at the end of the year because gap- filled fPAR/LAI contain more realistic vegetation dynamics for the 8-day in tha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descr="Figure 6: Comparisons of 8-day ET from the forward VNP16A2 (upper panel) and year-end gap- filled VNP16A2GF (bottom panel) for two tiles. The closeness of the two estimated results indicates the effectiveness of using combined fPAR as input for the forward data products. Gap-filled is still the final choice at the end of the year because gap- filled fPAR/LAI contain more realistic vegetation dynamics for the 8-day in that year."/>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3886200" cy="3575050"/>
                    </a:xfrm>
                    <a:prstGeom prst="rect">
                      <a:avLst/>
                    </a:prstGeom>
                  </pic:spPr>
                </pic:pic>
              </a:graphicData>
            </a:graphic>
            <wp14:sizeRelH relativeFrom="page">
              <wp14:pctWidth>0</wp14:pctWidth>
            </wp14:sizeRelH>
            <wp14:sizeRelV relativeFrom="page">
              <wp14:pctHeight>0</wp14:pctHeight>
            </wp14:sizeRelV>
          </wp:anchor>
        </w:drawing>
      </w:r>
      <w:bookmarkEnd w:id="61"/>
    </w:p>
    <w:p w14:paraId="674F0AB9" w14:textId="3924F6D2" w:rsidR="00DF3B35" w:rsidRDefault="00DF3B35" w:rsidP="00F64960">
      <w:pPr>
        <w:pStyle w:val="BodyText"/>
        <w:spacing w:before="120"/>
        <w:ind w:firstLine="432"/>
        <w:jc w:val="both"/>
      </w:pPr>
    </w:p>
    <w:p w14:paraId="6EB54082" w14:textId="6884599D" w:rsidR="00DF3B35" w:rsidRDefault="00DE2604" w:rsidP="00F64960">
      <w:pPr>
        <w:pStyle w:val="BodyText"/>
        <w:spacing w:before="120"/>
        <w:ind w:firstLine="432"/>
        <w:jc w:val="both"/>
      </w:pPr>
      <w:r>
        <w:rPr>
          <w:noProof/>
        </w:rPr>
        <mc:AlternateContent>
          <mc:Choice Requires="wps">
            <w:drawing>
              <wp:anchor distT="0" distB="0" distL="114300" distR="114300" simplePos="0" relativeHeight="251661312" behindDoc="0" locked="0" layoutInCell="1" allowOverlap="1" wp14:anchorId="1FA52141" wp14:editId="7A9BDE71">
                <wp:simplePos x="0" y="0"/>
                <wp:positionH relativeFrom="column">
                  <wp:posOffset>3903345</wp:posOffset>
                </wp:positionH>
                <wp:positionV relativeFrom="paragraph">
                  <wp:posOffset>88062</wp:posOffset>
                </wp:positionV>
                <wp:extent cx="2334260" cy="2782111"/>
                <wp:effectExtent l="0" t="0" r="15240" b="12065"/>
                <wp:wrapNone/>
                <wp:docPr id="965959673" name="Text Box 1"/>
                <wp:cNvGraphicFramePr/>
                <a:graphic xmlns:a="http://schemas.openxmlformats.org/drawingml/2006/main">
                  <a:graphicData uri="http://schemas.microsoft.com/office/word/2010/wordprocessingShape">
                    <wps:wsp>
                      <wps:cNvSpPr txBox="1"/>
                      <wps:spPr>
                        <a:xfrm>
                          <a:off x="0" y="0"/>
                          <a:ext cx="2334260" cy="2782111"/>
                        </a:xfrm>
                        <a:prstGeom prst="rect">
                          <a:avLst/>
                        </a:prstGeom>
                        <a:solidFill>
                          <a:schemeClr val="lt1"/>
                        </a:solidFill>
                        <a:ln w="6350">
                          <a:solidFill>
                            <a:prstClr val="black"/>
                          </a:solidFill>
                        </a:ln>
                      </wps:spPr>
                      <wps:txbx>
                        <w:txbxContent>
                          <w:p w14:paraId="6DC2F40E" w14:textId="663DD613" w:rsidR="00DE2604" w:rsidRDefault="00DE2604" w:rsidP="00DE2604">
                            <w:pPr>
                              <w:pStyle w:val="ImageCaption"/>
                              <w:jc w:val="both"/>
                            </w:pPr>
                            <w:r>
                              <w:t xml:space="preserve">Figure 6: Comparisons of 8-day ET from the forward VNP16A2 (upper panel) and year-end gap- filled VNP16A2GF (bottom panel) for two tiles. The closeness of the two estimated results indicates the effectiveness of using an fPAR/LAI climatology as input for the forward data products. </w:t>
                            </w:r>
                            <w:bookmarkStart w:id="62" w:name="fig%2525253AGapFilling41"/>
                            <w:bookmarkEnd w:id="62"/>
                            <w:r>
                              <w:t>The end-of-year gap-filled fPAR/LAI (and albedo) derived ET record (GF) is expected to have even greater performance due to even more realistic vegetation dynamics.</w:t>
                            </w:r>
                            <w:bookmarkStart w:id="63" w:name="fig%2525253AGapFilling511"/>
                            <w:bookmarkEnd w:id="63"/>
                          </w:p>
                          <w:p w14:paraId="70F0773F" w14:textId="6B19B26C" w:rsidR="00DE2604" w:rsidRDefault="00DE260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A52141" id="_x0000_t202" coordsize="21600,21600" o:spt="202" path="m,l,21600r21600,l21600,xe">
                <v:stroke joinstyle="miter"/>
                <v:path gradientshapeok="t" o:connecttype="rect"/>
              </v:shapetype>
              <v:shape id="Text Box 1" o:spid="_x0000_s1026" type="#_x0000_t202" style="position:absolute;left:0;text-align:left;margin-left:307.35pt;margin-top:6.95pt;width:183.8pt;height:219.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" fillcolor="white [3201]" strokeweight=".5pt">
                <v:textbox>
                  <w:txbxContent>
                    <w:p w14:paraId="6DC2F40E" w14:textId="663DD613" w:rsidR="00DE2604" w:rsidRDefault="00DE2604" w:rsidP="00DE2604">
                      <w:pPr>
                        <w:pStyle w:val="ImageCaption"/>
                        <w:jc w:val="both"/>
                      </w:pPr>
                      <w:r>
                        <w:t xml:space="preserve">Figure 6: Comparisons of 8-day ET from the forward VNP16A2 (upper panel) and year-end gap- filled VNP16A2GF (bottom panel) for two tiles. The closeness of the two estimated results indicates the effectiveness of using an </w:t>
                      </w:r>
                      <w:proofErr w:type="spellStart"/>
                      <w:r>
                        <w:t>fPAR</w:t>
                      </w:r>
                      <w:proofErr w:type="spellEnd"/>
                      <w:r>
                        <w:t xml:space="preserve">/LAI climatology as input for the forward data products. </w:t>
                      </w:r>
                      <w:bookmarkStart w:id="64" w:name="fig%2525253AGapFilling41"/>
                      <w:bookmarkEnd w:id="64"/>
                      <w:r>
                        <w:t xml:space="preserve">The end-of-year gap-filled </w:t>
                      </w:r>
                      <w:proofErr w:type="spellStart"/>
                      <w:r>
                        <w:t>fPAR</w:t>
                      </w:r>
                      <w:proofErr w:type="spellEnd"/>
                      <w:r>
                        <w:t>/LAI (and albedo) derived ET record (GF) is expected to have even greater performance due to even more realistic vegetation dynamics.</w:t>
                      </w:r>
                      <w:bookmarkStart w:id="65" w:name="fig%2525253AGapFilling511"/>
                      <w:bookmarkEnd w:id="65"/>
                    </w:p>
                    <w:p w14:paraId="70F0773F" w14:textId="6B19B26C" w:rsidR="00DE2604" w:rsidRDefault="00DE2604">
                      <w:pPr>
                        <w:ind w:left="0"/>
                      </w:pPr>
                    </w:p>
                  </w:txbxContent>
                </v:textbox>
              </v:shape>
            </w:pict>
          </mc:Fallback>
        </mc:AlternateContent>
      </w:r>
    </w:p>
    <w:p w14:paraId="42A494C3" w14:textId="247218C1" w:rsidR="00DF3B35" w:rsidRDefault="00DF3B35" w:rsidP="00F64960">
      <w:pPr>
        <w:pStyle w:val="BodyText"/>
        <w:spacing w:before="120"/>
        <w:ind w:firstLine="432"/>
        <w:jc w:val="both"/>
      </w:pPr>
    </w:p>
    <w:p w14:paraId="7974F8EC" w14:textId="6AA8A494" w:rsidR="00DF3B35" w:rsidRDefault="00DF3B35" w:rsidP="00F64960">
      <w:pPr>
        <w:pStyle w:val="BodyText"/>
        <w:spacing w:before="120"/>
        <w:ind w:firstLine="432"/>
        <w:jc w:val="both"/>
      </w:pPr>
    </w:p>
    <w:p w14:paraId="67DE7C9C" w14:textId="37DF4F01" w:rsidR="00DF3B35" w:rsidRDefault="00DF3B35" w:rsidP="00F64960">
      <w:pPr>
        <w:pStyle w:val="BodyText"/>
        <w:spacing w:before="120"/>
        <w:ind w:firstLine="432"/>
        <w:jc w:val="both"/>
      </w:pPr>
    </w:p>
    <w:p w14:paraId="2E5F9BE3" w14:textId="6A62D9F8" w:rsidR="00DF3B35" w:rsidRDefault="00DF3B35" w:rsidP="00F64960">
      <w:pPr>
        <w:pStyle w:val="BodyText"/>
        <w:spacing w:before="120"/>
        <w:ind w:firstLine="432"/>
        <w:jc w:val="both"/>
      </w:pPr>
    </w:p>
    <w:p w14:paraId="133F7EC3" w14:textId="5FF1E354" w:rsidR="00DF3B35" w:rsidRDefault="00DF3B35" w:rsidP="00F64960">
      <w:pPr>
        <w:pStyle w:val="BodyText"/>
        <w:spacing w:before="120"/>
        <w:ind w:firstLine="432"/>
        <w:jc w:val="both"/>
      </w:pPr>
    </w:p>
    <w:p w14:paraId="31D3F83F" w14:textId="418908C4" w:rsidR="00DF3B35" w:rsidRDefault="00DF3B35" w:rsidP="00F64960">
      <w:pPr>
        <w:pStyle w:val="BodyText"/>
        <w:spacing w:before="120"/>
        <w:ind w:firstLine="432"/>
        <w:jc w:val="both"/>
      </w:pPr>
    </w:p>
    <w:p w14:paraId="54209C5D" w14:textId="77777777" w:rsidR="00DF3B35" w:rsidRDefault="00DF3B35" w:rsidP="00F64960">
      <w:pPr>
        <w:pStyle w:val="BodyText"/>
        <w:spacing w:before="120"/>
        <w:ind w:firstLine="432"/>
        <w:jc w:val="both"/>
      </w:pPr>
    </w:p>
    <w:p w14:paraId="74877542" w14:textId="3E39BA28" w:rsidR="00DF3B35" w:rsidRDefault="00DF3B35" w:rsidP="00F64960">
      <w:pPr>
        <w:pStyle w:val="BodyText"/>
        <w:spacing w:before="120"/>
        <w:ind w:firstLine="432"/>
        <w:jc w:val="both"/>
      </w:pPr>
    </w:p>
    <w:p w14:paraId="1FBCA3A2" w14:textId="0C8F718A" w:rsidR="00DF3B35" w:rsidRDefault="00DF3B35" w:rsidP="00F64960">
      <w:pPr>
        <w:pStyle w:val="BodyText"/>
        <w:spacing w:before="120"/>
        <w:ind w:firstLine="432"/>
        <w:jc w:val="both"/>
      </w:pPr>
    </w:p>
    <w:p w14:paraId="221A93AE" w14:textId="77777777" w:rsidR="00DF3B35" w:rsidRDefault="00DF3B35" w:rsidP="00F64960">
      <w:pPr>
        <w:pStyle w:val="BodyText"/>
        <w:spacing w:before="120"/>
        <w:ind w:firstLine="432"/>
        <w:jc w:val="both"/>
      </w:pPr>
    </w:p>
    <w:p w14:paraId="3A1068EC" w14:textId="77777777" w:rsidR="00DF3B35" w:rsidRDefault="00DF3B35" w:rsidP="00F64960">
      <w:pPr>
        <w:pStyle w:val="BodyText"/>
        <w:spacing w:before="120"/>
        <w:ind w:firstLine="432"/>
        <w:jc w:val="both"/>
      </w:pPr>
    </w:p>
    <w:p w14:paraId="5ACF8B33" w14:textId="709BE788" w:rsidR="00DE2604" w:rsidRDefault="00DE2604" w:rsidP="00F64960">
      <w:pPr>
        <w:pStyle w:val="BodyText"/>
        <w:spacing w:before="120"/>
        <w:ind w:firstLine="432"/>
        <w:jc w:val="both"/>
      </w:pPr>
      <w:bookmarkStart w:id="64" w:name="fig%2525253AGapFilling5"/>
      <w:r>
        <w:rPr>
          <w:noProof/>
        </w:rPr>
        <w:drawing>
          <wp:anchor distT="0" distB="0" distL="114300" distR="114300" simplePos="0" relativeHeight="251660288" behindDoc="0" locked="0" layoutInCell="1" allowOverlap="1" wp14:anchorId="38F660B6" wp14:editId="17B0954B">
            <wp:simplePos x="0" y="0"/>
            <wp:positionH relativeFrom="column">
              <wp:posOffset>-56515</wp:posOffset>
            </wp:positionH>
            <wp:positionV relativeFrom="paragraph">
              <wp:posOffset>89967</wp:posOffset>
            </wp:positionV>
            <wp:extent cx="3986530" cy="3575050"/>
            <wp:effectExtent l="0" t="0" r="1270" b="6350"/>
            <wp:wrapNone/>
            <wp:docPr id="8" name="Image6" descr="Figure 7: Comparisons annual total ET from the forward VNP16A3 (upper panel, note that we won’t produce and release forward annual VNP16A3 data products but just gap- filled VNP16A3GF) and year-end gap-filled VNP16A3GF (bottom panel) for two tiles. The closeness of the two estimated results indicates the effectiveness of using combined fPAR as input for the forward data products. Gap-filled is still the final choice at the end of the year because gap- filled fPAR/LAI contain more realistic vegetation dynamics for the 8-day in tha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 descr="Figure 7: Comparisons annual total ET from the forward VNP16A3 (upper panel, note that we won’t produce and release forward annual VNP16A3 data products but just gap- filled VNP16A3GF) and year-end gap-filled VNP16A3GF (bottom panel) for two tiles. The closeness of the two estimated results indicates the effectiveness of using combined fPAR as input for the forward data products. Gap-filled is still the final choice at the end of the year because gap- filled fPAR/LAI contain more realistic vegetation dynamics for the 8-day in that year."/>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986530" cy="3575050"/>
                    </a:xfrm>
                    <a:prstGeom prst="rect">
                      <a:avLst/>
                    </a:prstGeom>
                  </pic:spPr>
                </pic:pic>
              </a:graphicData>
            </a:graphic>
            <wp14:sizeRelH relativeFrom="page">
              <wp14:pctWidth>0</wp14:pctWidth>
            </wp14:sizeRelH>
            <wp14:sizeRelV relativeFrom="page">
              <wp14:pctHeight>0</wp14:pctHeight>
            </wp14:sizeRelV>
          </wp:anchor>
        </w:drawing>
      </w:r>
      <w:bookmarkEnd w:id="64"/>
    </w:p>
    <w:p w14:paraId="3716195B" w14:textId="773969C7" w:rsidR="00DE2604" w:rsidRDefault="00DE2604" w:rsidP="00F64960">
      <w:pPr>
        <w:pStyle w:val="BodyText"/>
        <w:spacing w:before="120"/>
        <w:ind w:firstLine="432"/>
        <w:jc w:val="both"/>
      </w:pPr>
    </w:p>
    <w:p w14:paraId="1A77F10E" w14:textId="31BD0F29" w:rsidR="00DE2604" w:rsidRDefault="00DE2604" w:rsidP="00F64960">
      <w:pPr>
        <w:pStyle w:val="BodyText"/>
        <w:spacing w:before="120"/>
        <w:ind w:firstLine="432"/>
        <w:jc w:val="both"/>
      </w:pPr>
    </w:p>
    <w:p w14:paraId="49DD4D34" w14:textId="7E0ADA89" w:rsidR="00DE2604" w:rsidRDefault="00DE2604" w:rsidP="00F64960">
      <w:pPr>
        <w:pStyle w:val="BodyText"/>
        <w:spacing w:before="120"/>
        <w:ind w:firstLine="432"/>
        <w:jc w:val="both"/>
      </w:pPr>
      <w:r>
        <w:rPr>
          <w:noProof/>
        </w:rPr>
        <mc:AlternateContent>
          <mc:Choice Requires="wps">
            <w:drawing>
              <wp:anchor distT="0" distB="0" distL="114300" distR="114300" simplePos="0" relativeHeight="251662336" behindDoc="0" locked="0" layoutInCell="1" allowOverlap="1" wp14:anchorId="52D80979" wp14:editId="7E2BA1E1">
                <wp:simplePos x="0" y="0"/>
                <wp:positionH relativeFrom="column">
                  <wp:posOffset>3994582</wp:posOffset>
                </wp:positionH>
                <wp:positionV relativeFrom="paragraph">
                  <wp:posOffset>14605</wp:posOffset>
                </wp:positionV>
                <wp:extent cx="2217420" cy="1974215"/>
                <wp:effectExtent l="0" t="0" r="17780" b="6985"/>
                <wp:wrapNone/>
                <wp:docPr id="1814300605" name="Text Box 2"/>
                <wp:cNvGraphicFramePr/>
                <a:graphic xmlns:a="http://schemas.openxmlformats.org/drawingml/2006/main">
                  <a:graphicData uri="http://schemas.microsoft.com/office/word/2010/wordprocessingShape">
                    <wps:wsp>
                      <wps:cNvSpPr txBox="1"/>
                      <wps:spPr>
                        <a:xfrm>
                          <a:off x="0" y="0"/>
                          <a:ext cx="2217420" cy="1974215"/>
                        </a:xfrm>
                        <a:prstGeom prst="rect">
                          <a:avLst/>
                        </a:prstGeom>
                        <a:solidFill>
                          <a:schemeClr val="lt1"/>
                        </a:solidFill>
                        <a:ln w="6350">
                          <a:solidFill>
                            <a:prstClr val="black"/>
                          </a:solidFill>
                        </a:ln>
                      </wps:spPr>
                      <wps:txbx>
                        <w:txbxContent>
                          <w:p w14:paraId="4B7AB7D0" w14:textId="77777777" w:rsidR="00DE2604" w:rsidRDefault="00DE2604" w:rsidP="00DE2604">
                            <w:pPr>
                              <w:pStyle w:val="ImageCaption"/>
                              <w:jc w:val="both"/>
                            </w:pPr>
                            <w:r>
                              <w:t xml:space="preserve">Figure 7: Comparisons of annual total ET from the forward VNP16A3 (upper panel) and year-end, gap-filled VNP16A3GF (bottom panel) for the same two tiles shown in Fig. 6. </w:t>
                            </w:r>
                            <w:bookmarkStart w:id="65" w:name="fig%2525253AGapFilling51"/>
                            <w:bookmarkEnd w:id="65"/>
                          </w:p>
                          <w:p w14:paraId="1E9C3C3D" w14:textId="68EDB9D8" w:rsidR="00DE2604" w:rsidRDefault="00DE260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80979" id="Text Box 2" o:spid="_x0000_s1027" type="#_x0000_t202" style="position:absolute;left:0;text-align:left;margin-left:314.55pt;margin-top:1.15pt;width:174.6pt;height:155.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" fillcolor="white [3201]" strokeweight=".5pt">
                <v:textbox>
                  <w:txbxContent>
                    <w:p w14:paraId="4B7AB7D0" w14:textId="77777777" w:rsidR="00DE2604" w:rsidRDefault="00DE2604" w:rsidP="00DE2604">
                      <w:pPr>
                        <w:pStyle w:val="ImageCaption"/>
                        <w:jc w:val="both"/>
                      </w:pPr>
                      <w:r>
                        <w:t xml:space="preserve">Figure 7: Comparisons of annual total ET from the forward VNP16A3 (upper panel) and year-end, gap-filled VNP16A3GF (bottom panel) for the same two tiles shown in Fig. 6. </w:t>
                      </w:r>
                      <w:bookmarkStart w:id="68" w:name="fig%2525253AGapFilling51"/>
                      <w:bookmarkEnd w:id="68"/>
                    </w:p>
                    <w:p w14:paraId="1E9C3C3D" w14:textId="68EDB9D8" w:rsidR="00DE2604" w:rsidRDefault="00DE2604">
                      <w:pPr>
                        <w:ind w:left="0"/>
                      </w:pPr>
                    </w:p>
                  </w:txbxContent>
                </v:textbox>
              </v:shape>
            </w:pict>
          </mc:Fallback>
        </mc:AlternateContent>
      </w:r>
    </w:p>
    <w:p w14:paraId="55616331" w14:textId="243AC7AC" w:rsidR="00DE2604" w:rsidRDefault="00DE2604" w:rsidP="00F64960">
      <w:pPr>
        <w:pStyle w:val="BodyText"/>
        <w:spacing w:before="120"/>
        <w:ind w:firstLine="432"/>
        <w:jc w:val="both"/>
      </w:pPr>
    </w:p>
    <w:p w14:paraId="3E182433" w14:textId="2D01FF64" w:rsidR="00DE2604" w:rsidRDefault="00DE2604" w:rsidP="00F64960">
      <w:pPr>
        <w:pStyle w:val="BodyText"/>
        <w:spacing w:before="120"/>
        <w:ind w:firstLine="432"/>
        <w:jc w:val="both"/>
      </w:pPr>
    </w:p>
    <w:p w14:paraId="68BB14FF" w14:textId="47580B51" w:rsidR="00DE2604" w:rsidRDefault="00DE2604" w:rsidP="00F64960">
      <w:pPr>
        <w:pStyle w:val="BodyText"/>
        <w:spacing w:before="120"/>
        <w:ind w:firstLine="432"/>
        <w:jc w:val="both"/>
      </w:pPr>
    </w:p>
    <w:p w14:paraId="56E35048" w14:textId="097FB72D" w:rsidR="00DE2604" w:rsidRDefault="00DE2604" w:rsidP="00F64960">
      <w:pPr>
        <w:pStyle w:val="BodyText"/>
        <w:spacing w:before="120"/>
        <w:ind w:firstLine="432"/>
        <w:jc w:val="both"/>
      </w:pPr>
    </w:p>
    <w:p w14:paraId="32FA677A" w14:textId="5EC7BD4F" w:rsidR="00DE2604" w:rsidRDefault="00DE2604" w:rsidP="00F64960">
      <w:pPr>
        <w:pStyle w:val="BodyText"/>
        <w:spacing w:before="120"/>
        <w:ind w:firstLine="432"/>
        <w:jc w:val="both"/>
      </w:pPr>
    </w:p>
    <w:p w14:paraId="0FC0E1AE" w14:textId="77777777" w:rsidR="00DE2604" w:rsidRDefault="00DE2604" w:rsidP="00F64960">
      <w:pPr>
        <w:pStyle w:val="BodyText"/>
        <w:spacing w:before="120"/>
        <w:ind w:firstLine="432"/>
        <w:jc w:val="both"/>
      </w:pPr>
    </w:p>
    <w:p w14:paraId="23D264C0" w14:textId="77777777" w:rsidR="00DE2604" w:rsidRDefault="00DE2604" w:rsidP="00F64960">
      <w:pPr>
        <w:pStyle w:val="BodyText"/>
        <w:spacing w:before="120"/>
        <w:ind w:firstLine="432"/>
        <w:jc w:val="both"/>
      </w:pPr>
    </w:p>
    <w:p w14:paraId="51847608" w14:textId="2262A610" w:rsidR="00DE2604" w:rsidRDefault="00DE2604" w:rsidP="00F64960">
      <w:pPr>
        <w:pStyle w:val="BodyText"/>
        <w:spacing w:before="120"/>
        <w:ind w:firstLine="432"/>
        <w:jc w:val="both"/>
      </w:pPr>
    </w:p>
    <w:p w14:paraId="5D3B5B43" w14:textId="69D517D0" w:rsidR="00DE2604" w:rsidRDefault="00DE2604" w:rsidP="00F64960">
      <w:pPr>
        <w:pStyle w:val="BodyText"/>
        <w:spacing w:before="120"/>
        <w:ind w:firstLine="432"/>
        <w:jc w:val="both"/>
      </w:pPr>
    </w:p>
    <w:p w14:paraId="27D90AB6" w14:textId="614854F3" w:rsidR="00031310" w:rsidRDefault="00031310"/>
    <w:p w14:paraId="3E1D86C2" w14:textId="133B5DDF" w:rsidR="00031310" w:rsidRDefault="00EA4C4E">
      <w:pPr>
        <w:pStyle w:val="Heading2"/>
      </w:pPr>
      <w:bookmarkStart w:id="66" w:name="_Toc181041695"/>
      <w:r>
        <w:t xml:space="preserve">4.5 </w:t>
      </w:r>
      <w:bookmarkStart w:id="67" w:name="gmao-hourly-meteorological-data"/>
      <w:r>
        <w:t>GMAO Hourly Meteorological Data</w:t>
      </w:r>
      <w:bookmarkEnd w:id="66"/>
      <w:bookmarkEnd w:id="67"/>
    </w:p>
    <w:p w14:paraId="0DC78EB5" w14:textId="1FF8ED36" w:rsidR="00031310" w:rsidRDefault="00EA4C4E" w:rsidP="00705992">
      <w:pPr>
        <w:pStyle w:val="FirstParagraph"/>
        <w:ind w:firstLine="432"/>
        <w:jc w:val="both"/>
      </w:pPr>
      <w:r>
        <w:t xml:space="preserve">The VNP16 algorithm computes ET/PET and LE/PLE at a daily time step. This is made possible by the daily, global meteorological reanalysis data, including average and minimum air </w:t>
      </w:r>
      <w:r>
        <w:lastRenderedPageBreak/>
        <w:t>temperatures, incident downward solar radiation, and specific humidity provided by the GMAO/NASA GEOS-5 data assimilation system (</w:t>
      </w:r>
      <w:proofErr w:type="spellStart"/>
      <w:r>
        <w:t>Rienecker</w:t>
      </w:r>
      <w:proofErr w:type="spellEnd"/>
      <w:r>
        <w:t xml:space="preserve"> et al. 2008) at hourly time steps and with approximately 0.5-degree resolution. We aggregated </w:t>
      </w:r>
      <w:r w:rsidR="00CA473D">
        <w:t xml:space="preserve">the </w:t>
      </w:r>
      <w:r>
        <w:t xml:space="preserve">hourly meteorological data to sub-daily (day- and nighttime) and daily </w:t>
      </w:r>
      <w:r w:rsidR="00CA473D">
        <w:t xml:space="preserve">(24-hour) </w:t>
      </w:r>
      <w:r>
        <w:t xml:space="preserve">time steps for use in VNP16 </w:t>
      </w:r>
      <w:r w:rsidR="00CA473D">
        <w:t>processing</w:t>
      </w:r>
      <w:r>
        <w:t xml:space="preserve">. </w:t>
      </w:r>
      <w:r w:rsidR="00CA473D">
        <w:t xml:space="preserve">The </w:t>
      </w:r>
      <w:r>
        <w:t xml:space="preserve">GMAO/NASA GEOS-5 </w:t>
      </w:r>
      <w:r w:rsidR="00CA473D">
        <w:t>Forward Processing (</w:t>
      </w:r>
      <w:r>
        <w:t>FP-IT</w:t>
      </w:r>
      <w:r w:rsidR="00CA473D">
        <w:t xml:space="preserve">, </w:t>
      </w:r>
      <w:hyperlink r:id="rId21">
        <w:r>
          <w:rPr>
            <w:rStyle w:val="Hyperlink"/>
          </w:rPr>
          <w:t>https://gmao.gsfc.nasa.gov/GMAO_products/</w:t>
        </w:r>
      </w:hyperlink>
      <w:r>
        <w:t xml:space="preserve">), like other global meteorological </w:t>
      </w:r>
      <w:proofErr w:type="spellStart"/>
      <w:r>
        <w:t>reanalyses</w:t>
      </w:r>
      <w:proofErr w:type="spellEnd"/>
      <w:r>
        <w:t>, has uncertainties, especially for regions with poor weather station coverage and small-scale convection processes (mostly in the tropics) which cannot be sufficiently depicted by the coarse-resolution meteorological data assimilation system. Therefore, uncertainties in GEOS-5 and subsequent estimates of ET are higher in the tropics than in non-tropical regions (Zhao et al. 2006).</w:t>
      </w:r>
    </w:p>
    <w:p w14:paraId="3BBA5B25" w14:textId="7A628C87" w:rsidR="00031310" w:rsidRDefault="00EA4C4E" w:rsidP="00CF0D36">
      <w:pPr>
        <w:pStyle w:val="BodyText"/>
        <w:spacing w:before="120"/>
        <w:ind w:firstLine="432"/>
        <w:jc w:val="both"/>
      </w:pPr>
      <w:r>
        <w:t xml:space="preserve">One major </w:t>
      </w:r>
      <w:r w:rsidR="00CA473D">
        <w:t xml:space="preserve">challenge </w:t>
      </w:r>
      <w:r>
        <w:t>is the inconsistency in spatial resolution between half-degree GEOS-5 FP</w:t>
      </w:r>
      <w:r w:rsidR="00CA473D">
        <w:t>-IT</w:t>
      </w:r>
      <w:r>
        <w:t xml:space="preserve"> meteorological data and 500-m VIIRS Collection 2 pixels. To mitigate the appearance of visual artifacts introduced by the coarse-scale meteorological data, we apply spatial smoothing to the meteorological data, as proposed earlier for the MOD17 data product (Zhao et al., 2005). The spatial interpolation method is detailed below.</w:t>
      </w:r>
    </w:p>
    <w:p w14:paraId="7747666A" w14:textId="5CD1C1B0" w:rsidR="00031310" w:rsidRDefault="00EA4C4E" w:rsidP="00705992">
      <w:pPr>
        <w:pStyle w:val="BodyText"/>
        <w:spacing w:before="120" w:after="120"/>
        <w:ind w:firstLine="432"/>
        <w:jc w:val="both"/>
      </w:pPr>
      <w:r>
        <w:t xml:space="preserve">The four GEOS-5 cells nearest a given 500-m VIIRS pixel are used in the interpolation algorithm, which is a non-linear variation on inverse-distance approaches. We use a modified cosine function of the form below, as it constrains the output </w:t>
      </w:r>
      <w:r w:rsidR="00CA473D">
        <w:t xml:space="preserve">spatial weighting </w:t>
      </w:r>
      <w:r>
        <w:t>value to between 0 and 1:</w:t>
      </w:r>
    </w:p>
    <w:p w14:paraId="0930F7C2" w14:textId="657DCCE2" w:rsidR="00031310" w:rsidRDefault="00000000" w:rsidP="00CF0D36">
      <w:pPr>
        <w:pStyle w:val="BodyText"/>
        <w:jc w:val="both"/>
      </w:pP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m:t>
        </m:r>
        <m:sSup>
          <m:sSupPr>
            <m:ctrlPr>
              <w:rPr>
                <w:rFonts w:ascii="Cambria Math" w:hAnsi="Cambria Math"/>
              </w:rPr>
            </m:ctrlPr>
          </m:sSupPr>
          <m:e>
            <m:r>
              <m:rPr>
                <m:lit/>
                <m:nor/>
              </m:rPr>
              <w:rPr>
                <w:rFonts w:ascii="Cambria Math" w:hAnsi="Cambria Math"/>
              </w:rPr>
              <m:t>cos</m:t>
            </m:r>
          </m:e>
          <m:sup>
            <m:r>
              <w:rPr>
                <w:rFonts w:ascii="Cambria Math" w:hAnsi="Cambria Math"/>
              </w:rPr>
              <m:t>6</m:t>
            </m:r>
          </m:sup>
        </m:sSup>
        <m:d>
          <m:dPr>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2</m:t>
                </m:r>
              </m:den>
            </m:f>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i</m:t>
                    </m:r>
                  </m:sub>
                </m:sSub>
              </m:num>
              <m:den>
                <m:sSub>
                  <m:sSubPr>
                    <m:ctrlPr>
                      <w:rPr>
                        <w:rFonts w:ascii="Cambria Math" w:hAnsi="Cambria Math"/>
                      </w:rPr>
                    </m:ctrlPr>
                  </m:sSubPr>
                  <m:e>
                    <m:r>
                      <w:rPr>
                        <w:rFonts w:ascii="Cambria Math" w:hAnsi="Cambria Math"/>
                      </w:rPr>
                      <m:t>d</m:t>
                    </m:r>
                  </m:e>
                  <m:sub>
                    <m:r>
                      <m:rPr>
                        <m:lit/>
                        <m:nor/>
                      </m:rPr>
                      <w:rPr>
                        <w:rFonts w:ascii="Cambria Math" w:hAnsi="Cambria Math"/>
                      </w:rPr>
                      <m:t>max</m:t>
                    </m:r>
                  </m:sub>
                </m:sSub>
              </m:den>
            </m:f>
          </m:e>
        </m:d>
        <m:r>
          <w:rPr>
            <w:rFonts w:ascii="Cambria Math" w:hAnsi="Cambria Math"/>
          </w:rPr>
          <m:t>i</m:t>
        </m:r>
      </m:oMath>
      <w:r w:rsidR="00705992">
        <w:tab/>
      </w:r>
      <w:r w:rsidR="00705992">
        <w:tab/>
      </w:r>
      <w:r w:rsidR="00705992">
        <w:tab/>
      </w:r>
      <w:r w:rsidR="00705992">
        <w:tab/>
      </w:r>
      <w:r w:rsidR="00705992">
        <w:tab/>
      </w:r>
      <w:r w:rsidR="00705992">
        <w:tab/>
      </w:r>
      <w:r w:rsidR="00705992">
        <w:tab/>
      </w:r>
      <w:r w:rsidR="00705992">
        <w:tab/>
        <w:t>(4.1)</w:t>
      </w:r>
    </w:p>
    <w:p w14:paraId="369D7BB5" w14:textId="31F84C30" w:rsidR="00031310" w:rsidRDefault="00EA4C4E" w:rsidP="00CF0D36">
      <w:pPr>
        <w:pStyle w:val="FirstParagraph"/>
        <w:spacing w:before="120"/>
        <w:jc w:val="both"/>
      </w:pPr>
      <w:r>
        <w:t xml:space="preserve">where, </w:t>
      </w:r>
      <m:oMath>
        <m:sSub>
          <m:sSubPr>
            <m:ctrlPr>
              <w:rPr>
                <w:rFonts w:ascii="Cambria Math" w:hAnsi="Cambria Math"/>
              </w:rPr>
            </m:ctrlPr>
          </m:sSubPr>
          <m:e>
            <m:r>
              <w:rPr>
                <w:rFonts w:ascii="Cambria Math" w:hAnsi="Cambria Math"/>
              </w:rPr>
              <m:t>D</m:t>
            </m:r>
          </m:e>
          <m:sub>
            <m:r>
              <w:rPr>
                <w:rFonts w:ascii="Cambria Math" w:hAnsi="Cambria Math"/>
              </w:rPr>
              <m:t>i</m:t>
            </m:r>
          </m:sub>
        </m:sSub>
      </m:oMath>
      <w:r>
        <w:t xml:space="preserve"> is the non-linear distance between the 500-m VIIRS pixel and any one of four surrounding GEOS-5 cells; </w:t>
      </w:r>
      <m:oMath>
        <m:sSub>
          <m:sSubPr>
            <m:ctrlPr>
              <w:rPr>
                <w:rFonts w:ascii="Cambria Math" w:hAnsi="Cambria Math"/>
              </w:rPr>
            </m:ctrlPr>
          </m:sSubPr>
          <m:e>
            <m:r>
              <w:rPr>
                <w:rFonts w:ascii="Cambria Math" w:hAnsi="Cambria Math"/>
              </w:rPr>
              <m:t>d</m:t>
            </m:r>
          </m:e>
          <m:sub>
            <m:r>
              <w:rPr>
                <w:rFonts w:ascii="Cambria Math" w:hAnsi="Cambria Math"/>
              </w:rPr>
              <m:t>i</m:t>
            </m:r>
          </m:sub>
        </m:sSub>
      </m:oMath>
      <w:r>
        <w:t xml:space="preserve"> is the great-circle distance between the 500-m pixel and the same GEOS-5 cell; and </w:t>
      </w:r>
      <m:oMath>
        <m:sSub>
          <m:sSubPr>
            <m:ctrlPr>
              <w:rPr>
                <w:rFonts w:ascii="Cambria Math" w:hAnsi="Cambria Math"/>
              </w:rPr>
            </m:ctrlPr>
          </m:sSubPr>
          <m:e>
            <m:r>
              <w:rPr>
                <w:rFonts w:ascii="Cambria Math" w:hAnsi="Cambria Math"/>
              </w:rPr>
              <m:t>d</m:t>
            </m:r>
          </m:e>
          <m:sub>
            <m:r>
              <m:rPr>
                <m:lit/>
                <m:nor/>
              </m:rPr>
              <w:rPr>
                <w:rFonts w:ascii="Cambria Math" w:hAnsi="Cambria Math"/>
              </w:rPr>
              <m:t>max</m:t>
            </m:r>
          </m:sub>
        </m:sSub>
      </m:oMath>
      <w:r>
        <w:t xml:space="preserve"> is the great-circle distance between the two farthest </w:t>
      </w:r>
      <w:r w:rsidR="00CA473D">
        <w:t xml:space="preserve">GEOS-5 </w:t>
      </w:r>
      <w:r>
        <w:t xml:space="preserve">cells of the four being used. This ensures that </w:t>
      </w: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=1</m:t>
        </m:r>
      </m:oMath>
      <w:r>
        <w:t xml:space="preserve"> when </w:t>
      </w: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=0</m:t>
        </m:r>
      </m:oMath>
      <w:r>
        <w:t xml:space="preserve">, and </w:t>
      </w: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=0</m:t>
        </m:r>
      </m:oMath>
      <w:r>
        <w:t xml:space="preserve"> when </w:t>
      </w:r>
      <m:oMath>
        <m:sSub>
          <m:sSubPr>
            <m:ctrlPr>
              <w:rPr>
                <w:rFonts w:ascii="Cambria Math" w:hAnsi="Cambria Math"/>
              </w:rPr>
            </m:ctrlPr>
          </m:sSubPr>
          <m:e>
            <m:r>
              <w:rPr>
                <w:rFonts w:ascii="Cambria Math" w:hAnsi="Cambria Math"/>
              </w:rPr>
              <m:t>d</m:t>
            </m:r>
          </m:e>
          <m:sub>
            <m:r>
              <w:rPr>
                <w:rFonts w:ascii="Cambria Math" w:hAnsi="Cambria Math"/>
              </w:rPr>
              <m:t>i</m:t>
            </m:r>
          </m:sub>
        </m:sSub>
      </m:oMath>
      <w:r>
        <w:t xml:space="preserve"> = </w:t>
      </w:r>
      <m:oMath>
        <m:sSub>
          <m:sSubPr>
            <m:ctrlPr>
              <w:rPr>
                <w:rFonts w:ascii="Cambria Math" w:hAnsi="Cambria Math"/>
              </w:rPr>
            </m:ctrlPr>
          </m:sSubPr>
          <m:e>
            <m:r>
              <w:rPr>
                <w:rFonts w:ascii="Cambria Math" w:hAnsi="Cambria Math"/>
              </w:rPr>
              <m:t>d</m:t>
            </m:r>
          </m:e>
          <m:sub>
            <m:r>
              <m:rPr>
                <m:lit/>
                <m:nor/>
              </m:rPr>
              <w:rPr>
                <w:rFonts w:ascii="Cambria Math" w:hAnsi="Cambria Math"/>
              </w:rPr>
              <m:t>max</m:t>
            </m:r>
          </m:sub>
        </m:sSub>
      </m:oMath>
      <w:r>
        <w:t xml:space="preserve">. For an earlier version of GEOS-5 data with a much coarser resolution, we used a cosine function raised to the fourth power. We now </w:t>
      </w:r>
      <w:r w:rsidR="00CA473D">
        <w:t xml:space="preserve">use </w:t>
      </w:r>
      <w:r>
        <w:t>the power 6, as the resolution of the GEOS-5 meteorological data has increased.</w:t>
      </w:r>
    </w:p>
    <w:p w14:paraId="529FAB5D" w14:textId="77777777" w:rsidR="00031310" w:rsidRDefault="00EA4C4E" w:rsidP="00CF0D36">
      <w:pPr>
        <w:pStyle w:val="BodyText"/>
        <w:spacing w:before="120" w:after="120"/>
        <w:ind w:firstLine="432"/>
        <w:jc w:val="both"/>
      </w:pPr>
      <w:r>
        <w:t>Based on the non-linear distance (</w:t>
      </w:r>
      <m:oMath>
        <m:sSub>
          <m:sSubPr>
            <m:ctrlPr>
              <w:rPr>
                <w:rFonts w:ascii="Cambria Math" w:hAnsi="Cambria Math"/>
              </w:rPr>
            </m:ctrlPr>
          </m:sSubPr>
          <m:e>
            <m:r>
              <w:rPr>
                <w:rFonts w:ascii="Cambria Math" w:hAnsi="Cambria Math"/>
              </w:rPr>
              <m:t>D</m:t>
            </m:r>
          </m:e>
          <m:sub>
            <m:r>
              <w:rPr>
                <w:rFonts w:ascii="Cambria Math" w:hAnsi="Cambria Math"/>
              </w:rPr>
              <m:t>i</m:t>
            </m:r>
          </m:sub>
        </m:sSub>
      </m:oMath>
      <w:r>
        <w:t xml:space="preserve">), the weighted value </w:t>
      </w:r>
      <m:oMath>
        <m:sSub>
          <m:sSubPr>
            <m:ctrlPr>
              <w:rPr>
                <w:rFonts w:ascii="Cambria Math" w:hAnsi="Cambria Math"/>
              </w:rPr>
            </m:ctrlPr>
          </m:sSubPr>
          <m:e>
            <m:r>
              <w:rPr>
                <w:rFonts w:ascii="Cambria Math" w:hAnsi="Cambria Math"/>
              </w:rPr>
              <m:t>W</m:t>
            </m:r>
          </m:e>
          <m:sub>
            <m:r>
              <w:rPr>
                <w:rFonts w:ascii="Cambria Math" w:hAnsi="Cambria Math"/>
              </w:rPr>
              <m:t>i</m:t>
            </m:r>
          </m:sub>
        </m:sSub>
      </m:oMath>
      <w:r>
        <w:t xml:space="preserve"> can be expressed as:</w:t>
      </w:r>
    </w:p>
    <w:p w14:paraId="527DFC1B" w14:textId="2629F80F" w:rsidR="00031310" w:rsidRDefault="00000000" w:rsidP="00CF0D36">
      <w:pPr>
        <w:pStyle w:val="BodyText"/>
        <w:jc w:val="both"/>
      </w:pPr>
      <m:oMath>
        <m:sSub>
          <m:sSubPr>
            <m:ctrlPr>
              <w:rPr>
                <w:rFonts w:ascii="Cambria Math" w:hAnsi="Cambria Math"/>
              </w:rPr>
            </m:ctrlPr>
          </m:sSubPr>
          <m:e>
            <m:r>
              <w:rPr>
                <w:rFonts w:ascii="Cambria Math" w:hAnsi="Cambria Math"/>
              </w:rPr>
              <m:t>W</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i</m:t>
                </m:r>
              </m:sub>
            </m:sSub>
          </m:num>
          <m:den>
            <m:limLow>
              <m:limLowPr>
                <m:ctrlPr>
                  <w:rPr>
                    <w:rFonts w:ascii="Cambria Math" w:hAnsi="Cambria Math"/>
                  </w:rPr>
                </m:ctrlPr>
              </m:limLowPr>
              <m:e>
                <m:limUpp>
                  <m:limUppPr>
                    <m:ctrlPr>
                      <w:rPr>
                        <w:rFonts w:ascii="Cambria Math" w:hAnsi="Cambria Math"/>
                      </w:rPr>
                    </m:ctrlPr>
                  </m:limUppPr>
                  <m:e>
                    <m:r>
                      <w:rPr>
                        <w:rFonts w:ascii="Cambria Math" w:hAnsi="Cambria Math"/>
                      </w:rPr>
                      <m:t>∑</m:t>
                    </m:r>
                  </m:e>
                  <m:lim>
                    <m:r>
                      <w:rPr>
                        <w:rFonts w:ascii="Cambria Math" w:hAnsi="Cambria Math"/>
                      </w:rPr>
                      <m:t>6</m:t>
                    </m:r>
                  </m:lim>
                </m:limUpp>
              </m:e>
              <m:lim>
                <m:r>
                  <w:rPr>
                    <w:rFonts w:ascii="Cambria Math" w:hAnsi="Cambria Math"/>
                  </w:rPr>
                  <m:t>i=1</m:t>
                </m:r>
              </m:lim>
            </m:limLow>
          </m:den>
        </m:f>
        <m:sSub>
          <m:sSubPr>
            <m:ctrlPr>
              <w:rPr>
                <w:rFonts w:ascii="Cambria Math" w:hAnsi="Cambria Math"/>
              </w:rPr>
            </m:ctrlPr>
          </m:sSubPr>
          <m:e>
            <m:r>
              <w:rPr>
                <w:rFonts w:ascii="Cambria Math" w:hAnsi="Cambria Math"/>
              </w:rPr>
              <m:t>D</m:t>
            </m:r>
          </m:e>
          <m:sub>
            <m:r>
              <w:rPr>
                <w:rFonts w:ascii="Cambria Math" w:hAnsi="Cambria Math"/>
              </w:rPr>
              <m:t>i</m:t>
            </m:r>
          </m:sub>
        </m:sSub>
      </m:oMath>
      <w:r w:rsidR="00705992">
        <w:tab/>
      </w:r>
      <w:r w:rsidR="00705992">
        <w:tab/>
      </w:r>
      <w:r w:rsidR="00705992">
        <w:tab/>
      </w:r>
      <w:r w:rsidR="00705992">
        <w:tab/>
      </w:r>
      <w:r w:rsidR="00705992">
        <w:tab/>
      </w:r>
      <w:r w:rsidR="00705992">
        <w:tab/>
      </w:r>
      <w:r w:rsidR="00705992">
        <w:tab/>
      </w:r>
      <w:r w:rsidR="00705992">
        <w:tab/>
      </w:r>
      <w:r w:rsidR="00705992">
        <w:tab/>
        <w:t>(4.2)</w:t>
      </w:r>
    </w:p>
    <w:p w14:paraId="463D722C" w14:textId="77777777" w:rsidR="00031310" w:rsidRDefault="00EA4C4E" w:rsidP="00CF0D36">
      <w:pPr>
        <w:pStyle w:val="FirstParagraph"/>
        <w:spacing w:before="120" w:after="120"/>
        <w:jc w:val="both"/>
      </w:pPr>
      <w:r>
        <w:t xml:space="preserve">and therefore, for a given, the corresponding smoothed value </w:t>
      </w:r>
      <m:oMath>
        <m:r>
          <w:rPr>
            <w:rFonts w:ascii="Cambria Math" w:hAnsi="Cambria Math"/>
          </w:rPr>
          <m:t>V</m:t>
        </m:r>
      </m:oMath>
      <w:r>
        <w:t xml:space="preserve"> (i.e., interpolated </w:t>
      </w:r>
      <m:oMath>
        <m:sSub>
          <m:sSubPr>
            <m:ctrlPr>
              <w:rPr>
                <w:rFonts w:ascii="Cambria Math" w:hAnsi="Cambria Math"/>
              </w:rPr>
            </m:ctrlPr>
          </m:sSubPr>
          <m:e>
            <m:r>
              <w:rPr>
                <w:rFonts w:ascii="Cambria Math" w:hAnsi="Cambria Math"/>
              </w:rPr>
              <m:t>T</m:t>
            </m:r>
          </m:e>
          <m:sub>
            <m:r>
              <m:rPr>
                <m:lit/>
                <m:nor/>
              </m:rPr>
              <w:rPr>
                <w:rFonts w:ascii="Cambria Math" w:hAnsi="Cambria Math"/>
              </w:rPr>
              <m:t>min</m:t>
            </m:r>
          </m:sub>
        </m:sSub>
      </m:oMath>
      <w:r>
        <w:t xml:space="preserve">, </w:t>
      </w:r>
      <m:oMath>
        <m:sSub>
          <m:sSubPr>
            <m:ctrlPr>
              <w:rPr>
                <w:rFonts w:ascii="Cambria Math" w:hAnsi="Cambria Math"/>
              </w:rPr>
            </m:ctrlPr>
          </m:sSubPr>
          <m:e>
            <m:r>
              <w:rPr>
                <w:rFonts w:ascii="Cambria Math" w:hAnsi="Cambria Math"/>
              </w:rPr>
              <m:t>T</m:t>
            </m:r>
          </m:e>
          <m:sub>
            <m:r>
              <m:rPr>
                <m:lit/>
                <m:nor/>
              </m:rPr>
              <w:rPr>
                <w:rFonts w:ascii="Cambria Math" w:hAnsi="Cambria Math"/>
              </w:rPr>
              <m:t>mean</m:t>
            </m:r>
          </m:sub>
        </m:sSub>
      </m:oMath>
      <w:r>
        <w:t>, VPD, or short-wave radiation) is:</w:t>
      </w:r>
    </w:p>
    <w:p w14:paraId="3E51DE12" w14:textId="331E17E3" w:rsidR="00031310" w:rsidRDefault="00EA4C4E" w:rsidP="00CF0D36">
      <w:pPr>
        <w:pStyle w:val="BodyText"/>
        <w:jc w:val="both"/>
      </w:pPr>
      <m:oMath>
        <m:r>
          <w:rPr>
            <w:rFonts w:ascii="Cambria Math" w:hAnsi="Cambria Math"/>
          </w:rPr>
          <m:t>V=</m:t>
        </m:r>
        <m:nary>
          <m:naryPr>
            <m:chr m:val="∑"/>
            <m:ctrlPr>
              <w:rPr>
                <w:rFonts w:ascii="Cambria Math" w:hAnsi="Cambria Math"/>
              </w:rPr>
            </m:ctrlPr>
          </m:naryPr>
          <m:sub>
            <m:r>
              <w:rPr>
                <w:rFonts w:ascii="Cambria Math" w:hAnsi="Cambria Math"/>
              </w:rPr>
              <m:t>i=1</m:t>
            </m:r>
          </m:sub>
          <m:sup>
            <m:r>
              <w:rPr>
                <w:rFonts w:ascii="Cambria Math" w:hAnsi="Cambria Math"/>
              </w:rPr>
              <m:t>6</m:t>
            </m:r>
          </m:sup>
          <m:e>
            <m:sSub>
              <m:sSubPr>
                <m:ctrlPr>
                  <w:rPr>
                    <w:rFonts w:ascii="Cambria Math" w:hAnsi="Cambria Math"/>
                  </w:rPr>
                </m:ctrlPr>
              </m:sSubPr>
              <m:e>
                <m:r>
                  <w:rPr>
                    <w:rFonts w:ascii="Cambria Math" w:hAnsi="Cambria Math"/>
                  </w:rPr>
                  <m:t>W</m:t>
                </m:r>
              </m:e>
              <m:sub>
                <m:r>
                  <w:rPr>
                    <w:rFonts w:ascii="Cambria Math" w:hAnsi="Cambria Math"/>
                  </w:rPr>
                  <m:t>i</m:t>
                </m:r>
              </m:sub>
            </m:sSub>
          </m:e>
        </m:nary>
        <m:sSub>
          <m:sSubPr>
            <m:ctrlPr>
              <w:rPr>
                <w:rFonts w:ascii="Cambria Math" w:hAnsi="Cambria Math"/>
              </w:rPr>
            </m:ctrlPr>
          </m:sSubPr>
          <m:e>
            <m:r>
              <w:rPr>
                <w:rFonts w:ascii="Cambria Math" w:hAnsi="Cambria Math"/>
              </w:rPr>
              <m:t>V</m:t>
            </m:r>
          </m:e>
          <m:sub>
            <m:r>
              <w:rPr>
                <w:rFonts w:ascii="Cambria Math" w:hAnsi="Cambria Math"/>
              </w:rPr>
              <m:t>i</m:t>
            </m:r>
          </m:sub>
        </m:sSub>
      </m:oMath>
      <w:r w:rsidR="00705992">
        <w:tab/>
      </w:r>
      <w:r w:rsidR="00705992">
        <w:tab/>
      </w:r>
      <w:r w:rsidR="00705992">
        <w:tab/>
      </w:r>
      <w:r w:rsidR="00705992">
        <w:tab/>
      </w:r>
      <w:r w:rsidR="00705992">
        <w:tab/>
      </w:r>
      <w:r w:rsidR="00705992">
        <w:tab/>
      </w:r>
      <w:r w:rsidR="00705992">
        <w:tab/>
      </w:r>
      <w:r w:rsidR="00705992">
        <w:tab/>
      </w:r>
      <w:r w:rsidR="00705992">
        <w:tab/>
        <w:t>(4.3)</w:t>
      </w:r>
    </w:p>
    <w:p w14:paraId="65C13B71" w14:textId="172544BD" w:rsidR="00031310" w:rsidRDefault="00EA4C4E" w:rsidP="00CF0D36">
      <w:pPr>
        <w:pStyle w:val="FirstParagraph"/>
        <w:spacing w:before="120"/>
        <w:jc w:val="both"/>
      </w:pPr>
      <w:r>
        <w:t>Using the measurements of daily meteorological data from thousands of WMO weather stations as a baseline, we found that, relative to the nearest-neighbor resampling method, this spatial smoothing method resulted in approximately 75% (approximately 20%) of weather stations showing increased correlation (root mean squared error) (Zhao et al., 2005).</w:t>
      </w:r>
    </w:p>
    <w:p w14:paraId="41125543" w14:textId="09196051" w:rsidR="00031310" w:rsidRDefault="00EA4C4E">
      <w:pPr>
        <w:pStyle w:val="Heading1"/>
      </w:pPr>
      <w:bookmarkStart w:id="68" w:name="_Toc181041696"/>
      <w:r>
        <w:lastRenderedPageBreak/>
        <w:t xml:space="preserve">4.6 </w:t>
      </w:r>
      <w:bookmarkStart w:id="69" w:name="validation-of-vnp16vj116"/>
      <w:r>
        <w:t>Validation of VNP16/VJ116</w:t>
      </w:r>
      <w:bookmarkEnd w:id="68"/>
      <w:bookmarkEnd w:id="69"/>
    </w:p>
    <w:p w14:paraId="775DC4CD" w14:textId="29C39672" w:rsidR="00031310" w:rsidRDefault="00F06A6E" w:rsidP="00FE4ACC">
      <w:pPr>
        <w:pStyle w:val="FirstParagraph"/>
        <w:jc w:val="both"/>
      </w:pPr>
      <w:r>
        <w:t>At the</w:t>
      </w:r>
      <w:r w:rsidR="00EA4C4E">
        <w:t xml:space="preserve"> writing</w:t>
      </w:r>
      <w:r>
        <w:t xml:space="preserve"> of</w:t>
      </w:r>
      <w:r w:rsidR="00EA4C4E">
        <w:t xml:space="preserve"> this documentation, the published validation activities reflect the MODIS ET products, as the VIIRS VNP16 ET/PET data products have not yet been released. Some validation results for MODIS ET are still relevant to VIIRS ET, and users can refer to the MODIS ET/PET C6.1 User Guide and relevant publications online. Intercomparisons of the recent VIIRS ET science test with C6.1 counterparts also reveal good agreement between the two data products</w:t>
      </w:r>
      <w:r w:rsidR="00FE4ACC">
        <w:t xml:space="preserve"> when the same C6.1 BPLUT were applied to both MODIS and VIIRS</w:t>
      </w:r>
      <w:r w:rsidR="00EA4C4E">
        <w:t>, as indicated by the statistical metrics in Figure</w:t>
      </w:r>
      <w:r w:rsidR="00FE4ACC">
        <w:t xml:space="preserve"> 8</w:t>
      </w:r>
      <w:r w:rsidR="00EA4C4E">
        <w:t>.</w:t>
      </w:r>
    </w:p>
    <w:p w14:paraId="6353E807" w14:textId="45CD562E" w:rsidR="00031310" w:rsidRDefault="00DE2604">
      <w:pPr>
        <w:pStyle w:val="FirstParagraph"/>
      </w:pPr>
      <w:bookmarkStart w:id="70" w:name="fig%2525253APrelimValidation"/>
      <w:r>
        <w:rPr>
          <w:noProof/>
        </w:rPr>
        <w:drawing>
          <wp:anchor distT="0" distB="0" distL="114300" distR="114300" simplePos="0" relativeHeight="251658240" behindDoc="0" locked="0" layoutInCell="1" allowOverlap="1" wp14:anchorId="288E2FC2" wp14:editId="39166E95">
            <wp:simplePos x="0" y="0"/>
            <wp:positionH relativeFrom="column">
              <wp:posOffset>-7039</wp:posOffset>
            </wp:positionH>
            <wp:positionV relativeFrom="paragraph">
              <wp:posOffset>61879</wp:posOffset>
            </wp:positionV>
            <wp:extent cx="5943600" cy="4636135"/>
            <wp:effectExtent l="0" t="0" r="0" b="0"/>
            <wp:wrapNone/>
            <wp:docPr id="9" name="Image7" descr="Figure 8: Comparison of annual total ET for 2018 from VIIRS (VNP16A3GF and VJ16A3GF) with the C6.1 MYD16A3GF. Their spatial patterns (left panel) and one-by-one line density intercomparisons between VIIRS annual ET and C6.1 (right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descr="Figure 8: Comparison of annual total ET for 2018 from VIIRS (VNP16A3GF and VJ16A3GF) with the C6.1 MYD16A3GF. Their spatial patterns (left panel) and one-by-one line density intercomparisons between VIIRS annual ET and C6.1 (right panel)."/>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943600" cy="4636135"/>
                    </a:xfrm>
                    <a:prstGeom prst="rect">
                      <a:avLst/>
                    </a:prstGeom>
                  </pic:spPr>
                </pic:pic>
              </a:graphicData>
            </a:graphic>
            <wp14:sizeRelH relativeFrom="page">
              <wp14:pctWidth>0</wp14:pctWidth>
            </wp14:sizeRelH>
            <wp14:sizeRelV relativeFrom="page">
              <wp14:pctHeight>0</wp14:pctHeight>
            </wp14:sizeRelV>
          </wp:anchor>
        </w:drawing>
      </w:r>
      <w:bookmarkEnd w:id="70"/>
    </w:p>
    <w:p w14:paraId="5239213C" w14:textId="54D58DC2" w:rsidR="00E117F3" w:rsidRDefault="00E117F3">
      <w:pPr>
        <w:pStyle w:val="FirstParagraph"/>
      </w:pPr>
    </w:p>
    <w:p w14:paraId="0ED0F960" w14:textId="53E2F431" w:rsidR="00E117F3" w:rsidRDefault="00E117F3">
      <w:pPr>
        <w:pStyle w:val="FirstParagraph"/>
      </w:pPr>
    </w:p>
    <w:p w14:paraId="102AEAA6" w14:textId="67C09E86" w:rsidR="00E117F3" w:rsidRDefault="00E117F3">
      <w:pPr>
        <w:pStyle w:val="FirstParagraph"/>
      </w:pPr>
    </w:p>
    <w:p w14:paraId="47180F6F" w14:textId="0D5427D2" w:rsidR="00E117F3" w:rsidRDefault="00E117F3">
      <w:pPr>
        <w:pStyle w:val="FirstParagraph"/>
      </w:pPr>
    </w:p>
    <w:p w14:paraId="04C8E210" w14:textId="0FE6F6A0" w:rsidR="00E117F3" w:rsidRDefault="00E117F3">
      <w:pPr>
        <w:pStyle w:val="FirstParagraph"/>
      </w:pPr>
    </w:p>
    <w:p w14:paraId="76D79566" w14:textId="7551BC7E" w:rsidR="00E117F3" w:rsidRDefault="00E117F3">
      <w:pPr>
        <w:pStyle w:val="FirstParagraph"/>
      </w:pPr>
    </w:p>
    <w:p w14:paraId="4913088F" w14:textId="359AEC7B" w:rsidR="00E117F3" w:rsidRDefault="00E117F3">
      <w:pPr>
        <w:pStyle w:val="FirstParagraph"/>
      </w:pPr>
    </w:p>
    <w:p w14:paraId="006F016C" w14:textId="3C24D311" w:rsidR="00E117F3" w:rsidRDefault="00E117F3">
      <w:pPr>
        <w:pStyle w:val="FirstParagraph"/>
      </w:pPr>
    </w:p>
    <w:p w14:paraId="5294F611" w14:textId="31EF5645" w:rsidR="00E117F3" w:rsidRDefault="00E117F3">
      <w:pPr>
        <w:pStyle w:val="FirstParagraph"/>
      </w:pPr>
    </w:p>
    <w:p w14:paraId="7F1C8480" w14:textId="26703A9B" w:rsidR="00E117F3" w:rsidRDefault="00E117F3">
      <w:pPr>
        <w:pStyle w:val="FirstParagraph"/>
      </w:pPr>
    </w:p>
    <w:p w14:paraId="281B0795" w14:textId="2458866A" w:rsidR="00E117F3" w:rsidRDefault="00E117F3">
      <w:pPr>
        <w:pStyle w:val="FirstParagraph"/>
      </w:pPr>
    </w:p>
    <w:p w14:paraId="2F46F2F8" w14:textId="711AF598" w:rsidR="00E117F3" w:rsidRDefault="00E117F3">
      <w:pPr>
        <w:pStyle w:val="FirstParagraph"/>
      </w:pPr>
    </w:p>
    <w:p w14:paraId="45A2EA60" w14:textId="4AC44ACC" w:rsidR="00E117F3" w:rsidRDefault="00E117F3">
      <w:pPr>
        <w:pStyle w:val="FirstParagraph"/>
      </w:pPr>
    </w:p>
    <w:p w14:paraId="5B1D2116" w14:textId="6640CFE4" w:rsidR="00E117F3" w:rsidRDefault="00E117F3">
      <w:pPr>
        <w:pStyle w:val="FirstParagraph"/>
      </w:pPr>
    </w:p>
    <w:p w14:paraId="682689F7" w14:textId="0D06B93A" w:rsidR="00E117F3" w:rsidRDefault="00E117F3">
      <w:pPr>
        <w:pStyle w:val="FirstParagraph"/>
      </w:pPr>
    </w:p>
    <w:p w14:paraId="10D2D38B" w14:textId="77777777" w:rsidR="00E117F3" w:rsidRDefault="00E117F3">
      <w:pPr>
        <w:pStyle w:val="FirstParagraph"/>
      </w:pPr>
    </w:p>
    <w:p w14:paraId="3748FFB0" w14:textId="77777777" w:rsidR="00E117F3" w:rsidRDefault="00E117F3">
      <w:pPr>
        <w:pStyle w:val="FirstParagraph"/>
      </w:pPr>
    </w:p>
    <w:p w14:paraId="5596A7F2" w14:textId="77777777" w:rsidR="00E117F3" w:rsidRDefault="00E117F3">
      <w:pPr>
        <w:pStyle w:val="FirstParagraph"/>
      </w:pPr>
    </w:p>
    <w:p w14:paraId="4CB81C37" w14:textId="77777777" w:rsidR="00E117F3" w:rsidRDefault="00E117F3">
      <w:pPr>
        <w:pStyle w:val="FirstParagraph"/>
      </w:pPr>
    </w:p>
    <w:p w14:paraId="5646BDB3" w14:textId="1E0D8544" w:rsidR="00E117F3" w:rsidRDefault="00E117F3">
      <w:pPr>
        <w:pStyle w:val="FirstParagraph"/>
      </w:pPr>
    </w:p>
    <w:p w14:paraId="096F26EE" w14:textId="5813FA0B" w:rsidR="00E117F3" w:rsidRDefault="00E117F3">
      <w:pPr>
        <w:pStyle w:val="FirstParagraph"/>
      </w:pPr>
    </w:p>
    <w:p w14:paraId="05022807" w14:textId="76655DFA" w:rsidR="00E117F3" w:rsidRDefault="00E117F3">
      <w:pPr>
        <w:pStyle w:val="FirstParagraph"/>
      </w:pPr>
    </w:p>
    <w:p w14:paraId="078531F7" w14:textId="2E427C4E" w:rsidR="00E117F3" w:rsidRDefault="00E117F3">
      <w:pPr>
        <w:pStyle w:val="FirstParagraph"/>
      </w:pPr>
    </w:p>
    <w:p w14:paraId="24F9429D" w14:textId="554348EC" w:rsidR="00031310" w:rsidRDefault="00031310"/>
    <w:p w14:paraId="097D545C" w14:textId="682018B6" w:rsidR="00031310" w:rsidRDefault="00EA4C4E" w:rsidP="00DE1B5C">
      <w:pPr>
        <w:pStyle w:val="ImageCaption"/>
        <w:jc w:val="both"/>
      </w:pPr>
      <w:r>
        <w:t>Figure 8: Comparison of annual total ET for 2018 from VIIRS (VNP16A3GF and VJ16A3GF) with the</w:t>
      </w:r>
      <w:r w:rsidR="00F06A6E">
        <w:t xml:space="preserve"> MODIS</w:t>
      </w:r>
      <w:r>
        <w:t xml:space="preserve"> C6.1 MYD16A3GF</w:t>
      </w:r>
      <w:r w:rsidR="00F06A6E">
        <w:t xml:space="preserve"> product</w:t>
      </w:r>
      <w:r>
        <w:t xml:space="preserve">. The spatial patterns (left panel) and one-by-one line density intercomparisons between VIIRS annual ET and </w:t>
      </w:r>
      <w:r w:rsidR="00F06A6E">
        <w:t xml:space="preserve">MODIS </w:t>
      </w:r>
      <w:r>
        <w:t>C6.1 (right panel)</w:t>
      </w:r>
      <w:r w:rsidR="00F06A6E">
        <w:t xml:space="preserve"> are largely consistent</w:t>
      </w:r>
      <w:r>
        <w:t>.</w:t>
      </w:r>
      <w:bookmarkStart w:id="71" w:name="fig%2525253APrelimValidation1"/>
      <w:bookmarkEnd w:id="71"/>
      <w:r w:rsidR="00956C1C">
        <w:t xml:space="preserve"> Note that </w:t>
      </w:r>
      <w:r w:rsidR="00824CA4">
        <w:t>in</w:t>
      </w:r>
      <w:r w:rsidR="00956C1C">
        <w:t xml:space="preserve"> this comparison, VIIRS ET used the MODIS C6.1 BPLUT, not the newly calibrated</w:t>
      </w:r>
      <w:r w:rsidR="00824CA4">
        <w:t xml:space="preserve"> BPLUT (Endsley et al., 2024</w:t>
      </w:r>
      <w:r w:rsidR="005A5D4B">
        <w:t>), which is being used by the C2 VIIRS ET.</w:t>
      </w:r>
      <w:r w:rsidR="00956C1C">
        <w:t xml:space="preserve"> </w:t>
      </w:r>
    </w:p>
    <w:p w14:paraId="281A004D" w14:textId="77777777" w:rsidR="00031310" w:rsidRDefault="00EA4C4E">
      <w:pPr>
        <w:pStyle w:val="BodyText"/>
        <w:ind w:firstLine="0"/>
      </w:pPr>
      <w:r>
        <w:t>We will update this section when more research papers on the data products are available.</w:t>
      </w:r>
    </w:p>
    <w:p w14:paraId="088A4A44" w14:textId="77777777" w:rsidR="00031310" w:rsidRDefault="00031310">
      <w:pPr>
        <w:pStyle w:val="BodyText"/>
        <w:ind w:firstLine="0"/>
      </w:pPr>
    </w:p>
    <w:p w14:paraId="3C4FC056" w14:textId="77777777" w:rsidR="00031310" w:rsidRDefault="00EA4C4E">
      <w:pPr>
        <w:pStyle w:val="BodyText"/>
        <w:ind w:firstLine="0"/>
      </w:pPr>
      <w:r>
        <w:t>The current organization of VIIRS land product validation is here:</w:t>
      </w:r>
    </w:p>
    <w:p w14:paraId="5A926E78" w14:textId="77777777" w:rsidR="00031310" w:rsidRDefault="00EA4C4E">
      <w:pPr>
        <w:pStyle w:val="BodyText"/>
        <w:ind w:firstLine="0"/>
      </w:pPr>
      <w:r>
        <w:rPr>
          <w:rStyle w:val="Hyperlink"/>
        </w:rPr>
        <w:t>https://viirsland.gsfc.nasa.gov/</w:t>
      </w:r>
    </w:p>
    <w:p w14:paraId="3EA4D985" w14:textId="77777777" w:rsidR="00031310" w:rsidRDefault="00031310">
      <w:pPr>
        <w:pStyle w:val="BodyText"/>
        <w:ind w:firstLine="0"/>
      </w:pPr>
    </w:p>
    <w:p w14:paraId="55399AAF" w14:textId="77777777" w:rsidR="00031310" w:rsidRDefault="00EA4C4E">
      <w:pPr>
        <w:pStyle w:val="BodyText"/>
        <w:ind w:firstLine="0"/>
      </w:pPr>
      <w:r>
        <w:t>and specifics for VIIRS ET and PET can be found here:</w:t>
      </w:r>
    </w:p>
    <w:p w14:paraId="1DEFFD79" w14:textId="77777777" w:rsidR="00031310" w:rsidRDefault="00EA4C4E">
      <w:pPr>
        <w:pStyle w:val="BodyText"/>
        <w:ind w:firstLine="0"/>
      </w:pPr>
      <w:hyperlink r:id="rId23">
        <w:r>
          <w:rPr>
            <w:rStyle w:val="Hyperlink"/>
          </w:rPr>
          <w:t>https://viirsland.gsfc.nasa.gov/Products/NASA/ET_ESDR.html</w:t>
        </w:r>
      </w:hyperlink>
    </w:p>
    <w:p w14:paraId="1ADBD2E4" w14:textId="3E9828C8" w:rsidR="00031310" w:rsidRDefault="00EA4C4E">
      <w:pPr>
        <w:pStyle w:val="Heading1"/>
      </w:pPr>
      <w:bookmarkStart w:id="72" w:name="_Toc181041697"/>
      <w:r>
        <w:t>5</w:t>
      </w:r>
      <w:r w:rsidR="00742BD2">
        <w:t>.</w:t>
      </w:r>
      <w:r>
        <w:t xml:space="preserve"> </w:t>
      </w:r>
      <w:bookmarkStart w:id="73" w:name="Xf4e7477900517a2c399d5ac65fccd5e51b06d8f"/>
      <w:r>
        <w:t>Description of 500-m VNP16/VJ116 Data Products</w:t>
      </w:r>
      <w:bookmarkEnd w:id="72"/>
      <w:bookmarkEnd w:id="73"/>
    </w:p>
    <w:p w14:paraId="7E3636B0" w14:textId="46436988" w:rsidR="00031310" w:rsidRDefault="00EA4C4E" w:rsidP="00CF0D36">
      <w:pPr>
        <w:pStyle w:val="FirstParagraph"/>
        <w:jc w:val="both"/>
      </w:pPr>
      <w:r>
        <w:rPr>
          <w:b/>
        </w:rPr>
        <w:t xml:space="preserve">VNP16A2/VJ116A2 are 8-day forward data products, </w:t>
      </w:r>
      <w:r w:rsidR="00152B25">
        <w:rPr>
          <w:b/>
        </w:rPr>
        <w:t xml:space="preserve">where </w:t>
      </w:r>
      <w:r>
        <w:rPr>
          <w:b/>
        </w:rPr>
        <w:t>only the data for the current year</w:t>
      </w:r>
      <w:r w:rsidR="00152B25">
        <w:rPr>
          <w:b/>
        </w:rPr>
        <w:t xml:space="preserve"> are publicly available</w:t>
      </w:r>
      <w:r w:rsidR="0058518C">
        <w:rPr>
          <w:b/>
        </w:rPr>
        <w:t xml:space="preserve">; these data are considered suitable for operational applications where a low product latency is needed. </w:t>
      </w:r>
      <w:r w:rsidR="00152B25">
        <w:rPr>
          <w:b/>
        </w:rPr>
        <w:t xml:space="preserve">For greater precision, users are encouraged to use </w:t>
      </w:r>
      <w:r>
        <w:rPr>
          <w:b/>
        </w:rPr>
        <w:t xml:space="preserve">the reprocessed, year-end, gap-filled 8-day VNP16A2GF/VJ116A2GF and annual VNP16A3GF/VJ116A3GF </w:t>
      </w:r>
      <w:r w:rsidR="0058518C">
        <w:rPr>
          <w:b/>
        </w:rPr>
        <w:t>ET products</w:t>
      </w:r>
      <w:r>
        <w:rPr>
          <w:b/>
        </w:rPr>
        <w:t xml:space="preserve">. As detailed in the above Section 4.4.2, users should use </w:t>
      </w:r>
      <w:r w:rsidR="0058518C">
        <w:rPr>
          <w:b/>
        </w:rPr>
        <w:t xml:space="preserve">the </w:t>
      </w:r>
      <w:r>
        <w:rPr>
          <w:b/>
        </w:rPr>
        <w:t xml:space="preserve">higher quality gap filled </w:t>
      </w:r>
      <w:r w:rsidR="0058518C">
        <w:rPr>
          <w:b/>
        </w:rPr>
        <w:t xml:space="preserve">(GF) </w:t>
      </w:r>
      <w:r>
        <w:rPr>
          <w:b/>
        </w:rPr>
        <w:t>data products if the study data period doesn’t include the present year. User</w:t>
      </w:r>
      <w:r w:rsidR="0058518C">
        <w:rPr>
          <w:b/>
        </w:rPr>
        <w:t>s</w:t>
      </w:r>
      <w:r>
        <w:rPr>
          <w:b/>
        </w:rPr>
        <w:t xml:space="preserve"> may mix present year forward data products with the gap-filled from the previous years as Figures </w:t>
      </w:r>
      <w:r w:rsidR="00DE1B5C">
        <w:rPr>
          <w:b/>
        </w:rPr>
        <w:t xml:space="preserve">6 </w:t>
      </w:r>
      <w:r>
        <w:rPr>
          <w:b/>
        </w:rPr>
        <w:t xml:space="preserve">and </w:t>
      </w:r>
      <w:r w:rsidR="00DE1B5C">
        <w:rPr>
          <w:b/>
        </w:rPr>
        <w:t xml:space="preserve">7 </w:t>
      </w:r>
      <w:r>
        <w:rPr>
          <w:b/>
        </w:rPr>
        <w:t>above have shown the closeness of the two, but caution should be taken because of inconsistency.</w:t>
      </w:r>
    </w:p>
    <w:p w14:paraId="00DCF12E" w14:textId="77777777" w:rsidR="00031310" w:rsidRDefault="00EA4C4E" w:rsidP="00F90C12">
      <w:pPr>
        <w:pStyle w:val="BodyText"/>
        <w:spacing w:before="120"/>
        <w:ind w:firstLine="432"/>
        <w:jc w:val="both"/>
      </w:pPr>
      <w:r>
        <w:t>Please note that to avoid duplication, the descriptive information mainly focuses on VNP16. The information for VNP16 applies to VJ116 unless specified otherwise.</w:t>
      </w:r>
    </w:p>
    <w:p w14:paraId="371D3346" w14:textId="3E154CB3" w:rsidR="00031310" w:rsidRDefault="00EA4C4E" w:rsidP="00F90C12">
      <w:pPr>
        <w:pStyle w:val="BodyText"/>
        <w:spacing w:before="120"/>
        <w:ind w:firstLine="432"/>
        <w:jc w:val="both"/>
      </w:pPr>
      <w:r>
        <w:t>VIIRS 16 data products are stored in grid</w:t>
      </w:r>
      <w:r w:rsidR="0058518C">
        <w:t>d</w:t>
      </w:r>
      <w:r>
        <w:t>ed HDFEOS5 format, a self-described scientific data file format (</w:t>
      </w:r>
      <w:hyperlink r:id="rId24">
        <w:r>
          <w:rPr>
            <w:rStyle w:val="Hyperlink"/>
          </w:rPr>
          <w:t>https://www.hdfeos.org/</w:t>
        </w:r>
      </w:hyperlink>
      <w:r>
        <w:t>). Users may use a free software, HDFVIEW (</w:t>
      </w:r>
      <w:hyperlink r:id="rId25">
        <w:r>
          <w:rPr>
            <w:rStyle w:val="Hyperlink"/>
          </w:rPr>
          <w:t>https://www.hdfgroup.org/tag/hdfview-release/</w:t>
        </w:r>
      </w:hyperlink>
      <w:r>
        <w:t>), to check the file’s global attributes, attributes of different data fields</w:t>
      </w:r>
      <w:r w:rsidR="0058518C">
        <w:t>,</w:t>
      </w:r>
      <w:r>
        <w:t xml:space="preserve"> and the data to gain more information about the data products. As a level-4 VIIRS land data product, each HDFEOS5 file stores the data over a 10-degree tile domain in Sinusoidal map projection. For details on the 10-degree tile system, please visit the </w:t>
      </w:r>
      <w:r w:rsidR="0058518C">
        <w:t xml:space="preserve">following LP-DAAC </w:t>
      </w:r>
      <w:r>
        <w:t>website:</w:t>
      </w:r>
    </w:p>
    <w:p w14:paraId="7644DBCB" w14:textId="77777777" w:rsidR="00031310" w:rsidRDefault="00EA4C4E" w:rsidP="00F90C12">
      <w:pPr>
        <w:pStyle w:val="BodyText"/>
        <w:jc w:val="both"/>
      </w:pPr>
      <w:hyperlink r:id="rId26" w:anchor="viirs-grid-systems" w:history="1">
        <w:r>
          <w:rPr>
            <w:rStyle w:val="Hyperlink"/>
          </w:rPr>
          <w:t>https://lpdaac.usgs.gov/data/get-started-data/collection-overview/missions/s-npp-nasa-viirs-overview/#viirs-grid-systems</w:t>
        </w:r>
      </w:hyperlink>
    </w:p>
    <w:p w14:paraId="4AB0FE78" w14:textId="77777777" w:rsidR="00031310" w:rsidRDefault="00EA4C4E" w:rsidP="00F90C12">
      <w:pPr>
        <w:pStyle w:val="BodyText"/>
        <w:spacing w:before="120"/>
        <w:ind w:firstLine="432"/>
      </w:pPr>
      <w:r>
        <w:t>Below we provide key information on the data products to help users utilize the data.</w:t>
      </w:r>
    </w:p>
    <w:p w14:paraId="031F2806" w14:textId="66213221" w:rsidR="00031310" w:rsidRDefault="00EA4C4E">
      <w:pPr>
        <w:pStyle w:val="Heading2"/>
      </w:pPr>
      <w:bookmarkStart w:id="74" w:name="_Toc181041698"/>
      <w:r>
        <w:t xml:space="preserve">5.1 </w:t>
      </w:r>
      <w:bookmarkStart w:id="75" w:name="file-naming-conventions"/>
      <w:r>
        <w:t>File Naming Conventions</w:t>
      </w:r>
      <w:bookmarkEnd w:id="74"/>
      <w:bookmarkEnd w:id="75"/>
    </w:p>
    <w:p w14:paraId="5D4F2D45" w14:textId="77777777" w:rsidR="00031310" w:rsidRDefault="00EA4C4E" w:rsidP="00640485">
      <w:pPr>
        <w:pStyle w:val="FirstParagraph"/>
        <w:jc w:val="both"/>
      </w:pPr>
      <w:r>
        <w:t>VIIRS filenames follow a naming convention which gives useful information regarding the specific product. Product short name designations are as follows: VNP for Suomi-NPP, and VJ1 for Joint Polar Satellite System-1 (JPSS-1) or NOAA-20.</w:t>
      </w:r>
    </w:p>
    <w:p w14:paraId="418887A9" w14:textId="77777777" w:rsidR="00031310" w:rsidRDefault="00031310" w:rsidP="00640485">
      <w:pPr>
        <w:pStyle w:val="FirstParagraph"/>
        <w:jc w:val="both"/>
      </w:pPr>
    </w:p>
    <w:p w14:paraId="2DC935D6" w14:textId="59C93622" w:rsidR="00031310" w:rsidRDefault="00EA4C4E" w:rsidP="00265AC0">
      <w:pPr>
        <w:pStyle w:val="BodyText"/>
        <w:ind w:firstLine="562"/>
      </w:pPr>
      <w:r>
        <w:t xml:space="preserve">In this example of an 8-day Gap-Filled VNP16A2GF product, the filename </w:t>
      </w:r>
      <w:r w:rsidRPr="00265AC0">
        <w:t>VNP16A2GF.A2018193.h11v08.</w:t>
      </w:r>
      <w:proofErr w:type="gramStart"/>
      <w:r w:rsidRPr="00265AC0">
        <w:t>002.202</w:t>
      </w:r>
      <w:r w:rsidR="00391F7E">
        <w:t>4262234953</w:t>
      </w:r>
      <w:r w:rsidRPr="00265AC0">
        <w:t>.h</w:t>
      </w:r>
      <w:proofErr w:type="gramEnd"/>
      <w:r w:rsidRPr="00265AC0">
        <w:t>5</w:t>
      </w:r>
      <w:r>
        <w:t xml:space="preserve"> indicates:</w:t>
      </w:r>
    </w:p>
    <w:p w14:paraId="1B232B9C" w14:textId="77777777" w:rsidR="00031310" w:rsidRDefault="00EA4C4E">
      <w:pPr>
        <w:numPr>
          <w:ilvl w:val="0"/>
          <w:numId w:val="29"/>
        </w:numPr>
      </w:pPr>
      <w:r w:rsidRPr="00265AC0">
        <w:t>VNP16A2GF</w:t>
      </w:r>
      <w:r>
        <w:t xml:space="preserve"> - Product Short Name for the 8-day Gap-Filled VNP ET/PET/LE/PLE</w:t>
      </w:r>
    </w:p>
    <w:p w14:paraId="2F4CC37C" w14:textId="77777777" w:rsidR="00031310" w:rsidRDefault="00EA4C4E">
      <w:pPr>
        <w:numPr>
          <w:ilvl w:val="0"/>
          <w:numId w:val="30"/>
        </w:numPr>
      </w:pPr>
      <w:r w:rsidRPr="00265AC0">
        <w:t>A2018193</w:t>
      </w:r>
      <w:r>
        <w:t xml:space="preserve"> - Julian Date of the Start Date of the 8-day Period (AYYYYDDD)</w:t>
      </w:r>
    </w:p>
    <w:p w14:paraId="2EF42E49" w14:textId="77777777" w:rsidR="00031310" w:rsidRDefault="00EA4C4E">
      <w:pPr>
        <w:numPr>
          <w:ilvl w:val="0"/>
          <w:numId w:val="31"/>
        </w:numPr>
      </w:pPr>
      <w:r w:rsidRPr="00265AC0">
        <w:t>h11v08</w:t>
      </w:r>
      <w:r>
        <w:t xml:space="preserve"> – 10-Degree Tile Location (</w:t>
      </w:r>
      <w:proofErr w:type="spellStart"/>
      <w:r>
        <w:t>hxxvxx</w:t>
      </w:r>
      <w:proofErr w:type="spellEnd"/>
      <w:r>
        <w:t>)</w:t>
      </w:r>
    </w:p>
    <w:p w14:paraId="68A06FDF" w14:textId="77777777" w:rsidR="00031310" w:rsidRDefault="00EA4C4E">
      <w:pPr>
        <w:numPr>
          <w:ilvl w:val="0"/>
          <w:numId w:val="32"/>
        </w:numPr>
      </w:pPr>
      <w:r w:rsidRPr="00265AC0">
        <w:t>002</w:t>
      </w:r>
      <w:r>
        <w:t xml:space="preserve"> - Collection Version</w:t>
      </w:r>
    </w:p>
    <w:p w14:paraId="6DF0B78B" w14:textId="172EADB7" w:rsidR="00031310" w:rsidRDefault="00391F7E">
      <w:pPr>
        <w:numPr>
          <w:ilvl w:val="0"/>
          <w:numId w:val="33"/>
        </w:numPr>
      </w:pPr>
      <w:r w:rsidRPr="00265AC0">
        <w:t>202</w:t>
      </w:r>
      <w:r>
        <w:t>4262234953</w:t>
      </w:r>
      <w:r w:rsidR="00EA4C4E">
        <w:t xml:space="preserve"> - Julian Date of File Creation (YYYYDDDHHMMSS)</w:t>
      </w:r>
    </w:p>
    <w:p w14:paraId="46BE412A" w14:textId="77777777" w:rsidR="00031310" w:rsidRDefault="00EA4C4E">
      <w:pPr>
        <w:numPr>
          <w:ilvl w:val="0"/>
          <w:numId w:val="34"/>
        </w:numPr>
      </w:pPr>
      <w:r w:rsidRPr="00265AC0">
        <w:t>.h5</w:t>
      </w:r>
      <w:r>
        <w:t xml:space="preserve"> - Data Format (HDF-EOS5)</w:t>
      </w:r>
    </w:p>
    <w:p w14:paraId="0BD6B0DE" w14:textId="77777777" w:rsidR="00031310" w:rsidRDefault="00031310">
      <w:pPr>
        <w:pStyle w:val="FirstParagraph"/>
      </w:pPr>
    </w:p>
    <w:p w14:paraId="464BE880" w14:textId="74CB0684" w:rsidR="00031310" w:rsidRDefault="00EA4C4E">
      <w:pPr>
        <w:pStyle w:val="FirstParagraph"/>
      </w:pPr>
      <w:r>
        <w:t xml:space="preserve">In another example of an 8-day forward VJ116A2 product, the </w:t>
      </w:r>
      <w:r w:rsidRPr="00265AC0">
        <w:t>VJ116A2.A2018185.h10v05.</w:t>
      </w:r>
      <w:proofErr w:type="gramStart"/>
      <w:r w:rsidRPr="00265AC0">
        <w:t>002.</w:t>
      </w:r>
      <w:r w:rsidR="00640485" w:rsidRPr="00265AC0">
        <w:t>202</w:t>
      </w:r>
      <w:r w:rsidR="00640485">
        <w:t>4262234952</w:t>
      </w:r>
      <w:r w:rsidRPr="00265AC0">
        <w:t>.h</w:t>
      </w:r>
      <w:proofErr w:type="gramEnd"/>
      <w:r w:rsidRPr="00265AC0">
        <w:t>5</w:t>
      </w:r>
      <w:r>
        <w:t xml:space="preserve"> denotes:</w:t>
      </w:r>
    </w:p>
    <w:p w14:paraId="692344A6" w14:textId="77777777" w:rsidR="00031310" w:rsidRDefault="00EA4C4E">
      <w:pPr>
        <w:numPr>
          <w:ilvl w:val="0"/>
          <w:numId w:val="35"/>
        </w:numPr>
      </w:pPr>
      <w:r w:rsidRPr="00265AC0">
        <w:t>VJ116A2</w:t>
      </w:r>
      <w:r>
        <w:t xml:space="preserve"> - Product Short Name for the 8-day forward VJ1 ET/PET/LE/PLE</w:t>
      </w:r>
    </w:p>
    <w:p w14:paraId="090D7F75" w14:textId="77777777" w:rsidR="00031310" w:rsidRDefault="00EA4C4E">
      <w:pPr>
        <w:numPr>
          <w:ilvl w:val="0"/>
          <w:numId w:val="36"/>
        </w:numPr>
      </w:pPr>
      <w:r w:rsidRPr="00265AC0">
        <w:t>A2018185</w:t>
      </w:r>
      <w:r>
        <w:t xml:space="preserve"> - Julian Date of the Start Date of the 8-day Period (AYYYYDDD)</w:t>
      </w:r>
    </w:p>
    <w:p w14:paraId="65DF553D" w14:textId="77777777" w:rsidR="00031310" w:rsidRDefault="00EA4C4E">
      <w:pPr>
        <w:numPr>
          <w:ilvl w:val="0"/>
          <w:numId w:val="37"/>
        </w:numPr>
      </w:pPr>
      <w:r w:rsidRPr="00265AC0">
        <w:t>h10v05</w:t>
      </w:r>
      <w:r>
        <w:t xml:space="preserve"> – 10-Degree Tile Location (</w:t>
      </w:r>
      <w:proofErr w:type="spellStart"/>
      <w:r>
        <w:t>hxxvxx</w:t>
      </w:r>
      <w:proofErr w:type="spellEnd"/>
      <w:r>
        <w:t>)</w:t>
      </w:r>
    </w:p>
    <w:p w14:paraId="43D5E5AB" w14:textId="77777777" w:rsidR="00031310" w:rsidRDefault="00EA4C4E">
      <w:pPr>
        <w:numPr>
          <w:ilvl w:val="0"/>
          <w:numId w:val="38"/>
        </w:numPr>
      </w:pPr>
      <w:r w:rsidRPr="00265AC0">
        <w:t>002</w:t>
      </w:r>
      <w:r>
        <w:t xml:space="preserve"> - Collection Version</w:t>
      </w:r>
    </w:p>
    <w:p w14:paraId="7FD8A929" w14:textId="2BC5E945" w:rsidR="00031310" w:rsidRDefault="00640485">
      <w:pPr>
        <w:numPr>
          <w:ilvl w:val="0"/>
          <w:numId w:val="39"/>
        </w:numPr>
      </w:pPr>
      <w:r w:rsidRPr="00265AC0">
        <w:t>202</w:t>
      </w:r>
      <w:r>
        <w:t>4262234952</w:t>
      </w:r>
      <w:r w:rsidR="00EA4C4E">
        <w:t xml:space="preserve"> - Julian Date of File Creation (YYYYDDDHHMMSS)</w:t>
      </w:r>
    </w:p>
    <w:p w14:paraId="35DE7425" w14:textId="77777777" w:rsidR="00031310" w:rsidRDefault="00EA4C4E">
      <w:pPr>
        <w:numPr>
          <w:ilvl w:val="0"/>
          <w:numId w:val="40"/>
        </w:numPr>
      </w:pPr>
      <w:r w:rsidRPr="00265AC0">
        <w:t>.h5</w:t>
      </w:r>
      <w:r>
        <w:t xml:space="preserve"> - Data Format (HDF-EOS5)</w:t>
      </w:r>
    </w:p>
    <w:p w14:paraId="321A78CC" w14:textId="77777777" w:rsidR="00031310" w:rsidRDefault="00031310">
      <w:pPr>
        <w:pStyle w:val="FirstParagraph"/>
      </w:pPr>
    </w:p>
    <w:p w14:paraId="3C98FD48" w14:textId="6292C485" w:rsidR="00031310" w:rsidRDefault="00EA4C4E">
      <w:pPr>
        <w:pStyle w:val="FirstParagraph"/>
      </w:pPr>
      <w:r>
        <w:t xml:space="preserve">In another example of an annual Gap-Filled VJ116A3GF product, filename </w:t>
      </w:r>
      <w:r w:rsidRPr="00265AC0">
        <w:t>VJ116A3GF.A2018001.h09v05.002.</w:t>
      </w:r>
      <w:r w:rsidR="00640485" w:rsidRPr="00640485">
        <w:t xml:space="preserve"> </w:t>
      </w:r>
      <w:r w:rsidR="00640485" w:rsidRPr="00265AC0">
        <w:t>202</w:t>
      </w:r>
      <w:r w:rsidR="00640485">
        <w:t>4262235002</w:t>
      </w:r>
      <w:r w:rsidRPr="00265AC0">
        <w:t>.h5</w:t>
      </w:r>
      <w:r>
        <w:t xml:space="preserve"> suggests:</w:t>
      </w:r>
    </w:p>
    <w:p w14:paraId="54397E75" w14:textId="77777777" w:rsidR="00031310" w:rsidRDefault="00EA4C4E">
      <w:pPr>
        <w:numPr>
          <w:ilvl w:val="0"/>
          <w:numId w:val="41"/>
        </w:numPr>
      </w:pPr>
      <w:r w:rsidRPr="00265AC0">
        <w:t>VJ116A3GF</w:t>
      </w:r>
      <w:r>
        <w:t xml:space="preserve"> - Product Short Name for the Gap-Filled Annual VJ1 ET/PET/LE/PLE</w:t>
      </w:r>
    </w:p>
    <w:p w14:paraId="3CB53D66" w14:textId="77777777" w:rsidR="00031310" w:rsidRDefault="00EA4C4E">
      <w:pPr>
        <w:numPr>
          <w:ilvl w:val="0"/>
          <w:numId w:val="42"/>
        </w:numPr>
      </w:pPr>
      <w:r w:rsidRPr="00265AC0">
        <w:t>A2018001</w:t>
      </w:r>
      <w:r>
        <w:t xml:space="preserve"> - Julian Date of the Start Date of the Annual Period (AYYYYDDD)</w:t>
      </w:r>
    </w:p>
    <w:p w14:paraId="1001454E" w14:textId="77777777" w:rsidR="00031310" w:rsidRDefault="00EA4C4E">
      <w:pPr>
        <w:numPr>
          <w:ilvl w:val="0"/>
          <w:numId w:val="43"/>
        </w:numPr>
      </w:pPr>
      <w:r w:rsidRPr="00265AC0">
        <w:t>h09v05</w:t>
      </w:r>
      <w:r>
        <w:t xml:space="preserve"> – 10-Degree Tile Location (</w:t>
      </w:r>
      <w:proofErr w:type="spellStart"/>
      <w:r>
        <w:t>hxxvxx</w:t>
      </w:r>
      <w:proofErr w:type="spellEnd"/>
      <w:r>
        <w:t>)</w:t>
      </w:r>
    </w:p>
    <w:p w14:paraId="1BCC6D3F" w14:textId="77777777" w:rsidR="00031310" w:rsidRDefault="00EA4C4E">
      <w:pPr>
        <w:numPr>
          <w:ilvl w:val="0"/>
          <w:numId w:val="44"/>
        </w:numPr>
      </w:pPr>
      <w:r w:rsidRPr="00265AC0">
        <w:t>002</w:t>
      </w:r>
      <w:r>
        <w:t xml:space="preserve"> - Collection Version</w:t>
      </w:r>
    </w:p>
    <w:p w14:paraId="0C87CE4D" w14:textId="338A14F5" w:rsidR="00031310" w:rsidRDefault="00640485">
      <w:pPr>
        <w:numPr>
          <w:ilvl w:val="0"/>
          <w:numId w:val="45"/>
        </w:numPr>
      </w:pPr>
      <w:r w:rsidRPr="00265AC0">
        <w:t>202</w:t>
      </w:r>
      <w:r>
        <w:t>4262235002</w:t>
      </w:r>
      <w:r w:rsidR="00EA4C4E">
        <w:t xml:space="preserve"> - Julian Date of File Creation (YYYYDDDHHMMSS)</w:t>
      </w:r>
    </w:p>
    <w:p w14:paraId="51020D3B" w14:textId="77777777" w:rsidR="00031310" w:rsidRDefault="00EA4C4E">
      <w:pPr>
        <w:numPr>
          <w:ilvl w:val="0"/>
          <w:numId w:val="46"/>
        </w:numPr>
      </w:pPr>
      <w:r w:rsidRPr="00265AC0">
        <w:t>.h5</w:t>
      </w:r>
      <w:r>
        <w:t xml:space="preserve"> - Data Format (HDF-EOS5)</w:t>
      </w:r>
    </w:p>
    <w:p w14:paraId="56C25F2F" w14:textId="5F59ABF2" w:rsidR="00031310" w:rsidRDefault="00EA4C4E">
      <w:pPr>
        <w:pStyle w:val="Heading2"/>
      </w:pPr>
      <w:bookmarkStart w:id="76" w:name="_Toc181041699"/>
      <w:r>
        <w:t>5.2 Downloading VNP16 Datasets</w:t>
      </w:r>
      <w:bookmarkEnd w:id="76"/>
    </w:p>
    <w:p w14:paraId="79CA643D" w14:textId="31957EE2" w:rsidR="00031310" w:rsidRDefault="00EA4C4E" w:rsidP="00CF0D36">
      <w:pPr>
        <w:spacing w:after="120"/>
        <w:ind w:left="0"/>
        <w:jc w:val="both"/>
      </w:pPr>
      <w:r>
        <w:t xml:space="preserve">All MODIS land data products are </w:t>
      </w:r>
      <w:r w:rsidR="004E79ED">
        <w:t xml:space="preserve">archived and </w:t>
      </w:r>
      <w:r>
        <w:t xml:space="preserve">distributed to global users from the USGS Land Processes Distributed Active Archive Center (USGS LP DAAC), found here: </w:t>
      </w:r>
    </w:p>
    <w:p w14:paraId="6293A108" w14:textId="77777777" w:rsidR="00031310" w:rsidRDefault="00EA4C4E" w:rsidP="00CF0D36">
      <w:pPr>
        <w:ind w:left="0"/>
        <w:jc w:val="both"/>
      </w:pPr>
      <w:hyperlink r:id="rId27">
        <w:r>
          <w:rPr>
            <w:rStyle w:val="Hyperlink"/>
          </w:rPr>
          <w:t>https://lpdaac.usgs.gov/</w:t>
        </w:r>
      </w:hyperlink>
    </w:p>
    <w:p w14:paraId="0A1F7B8D" w14:textId="7C9EED2A" w:rsidR="00031310" w:rsidRDefault="00EA4C4E" w:rsidP="00CF0D36">
      <w:pPr>
        <w:spacing w:before="120" w:after="120"/>
        <w:ind w:left="0"/>
        <w:jc w:val="both"/>
      </w:pPr>
      <w:r>
        <w:t xml:space="preserve">Users are encouraged to explore the method to order and download data </w:t>
      </w:r>
      <w:r w:rsidR="004E79ED">
        <w:t>from</w:t>
      </w:r>
      <w:r>
        <w:t xml:space="preserve"> the L</w:t>
      </w:r>
      <w:r w:rsidR="004E79ED">
        <w:t xml:space="preserve">P </w:t>
      </w:r>
      <w:r>
        <w:t xml:space="preserve">DAAC </w:t>
      </w:r>
      <w:r w:rsidR="004E79ED">
        <w:t xml:space="preserve">or the more comprehensive NASA </w:t>
      </w:r>
      <w:proofErr w:type="spellStart"/>
      <w:r w:rsidR="004E79ED">
        <w:t>Earthdata</w:t>
      </w:r>
      <w:proofErr w:type="spellEnd"/>
      <w:r w:rsidR="004E79ED">
        <w:t xml:space="preserve"> Search engine (</w:t>
      </w:r>
      <w:hyperlink r:id="rId28" w:history="1">
        <w:r w:rsidR="004E79ED" w:rsidRPr="00C03A34">
          <w:rPr>
            <w:rStyle w:val="Hyperlink"/>
          </w:rPr>
          <w:t>https://search.earthdata.nasa.gov/search</w:t>
        </w:r>
      </w:hyperlink>
      <w:r w:rsidR="004E79ED">
        <w:t>)</w:t>
      </w:r>
      <w:r>
        <w:t xml:space="preserve">. A quick way to check </w:t>
      </w:r>
      <w:r w:rsidR="004E79ED">
        <w:t xml:space="preserve">MODIS or VIIRS </w:t>
      </w:r>
      <w:r>
        <w:t>data is through USGS data pool site:</w:t>
      </w:r>
    </w:p>
    <w:p w14:paraId="713F5DE5" w14:textId="77777777" w:rsidR="00031310" w:rsidRDefault="00EA4C4E" w:rsidP="00CF0D36">
      <w:pPr>
        <w:spacing w:after="120"/>
        <w:ind w:left="0"/>
        <w:jc w:val="both"/>
      </w:pPr>
      <w:hyperlink r:id="rId29">
        <w:r>
          <w:rPr>
            <w:rStyle w:val="Hyperlink"/>
          </w:rPr>
          <w:t>https://lpdaac.usgs.gov/tools/data-pool/</w:t>
        </w:r>
      </w:hyperlink>
    </w:p>
    <w:p w14:paraId="2702135A" w14:textId="6C62C4DE" w:rsidR="00031310" w:rsidRDefault="00EA4C4E">
      <w:pPr>
        <w:pStyle w:val="Heading2"/>
      </w:pPr>
      <w:bookmarkStart w:id="77" w:name="_Toc181041700"/>
      <w:r>
        <w:t xml:space="preserve">5.3 </w:t>
      </w:r>
      <w:bookmarkStart w:id="78" w:name="description-of-vnp16-datasets"/>
      <w:r>
        <w:t>Description of VNP16 Datasets</w:t>
      </w:r>
      <w:bookmarkEnd w:id="77"/>
      <w:bookmarkEnd w:id="78"/>
    </w:p>
    <w:p w14:paraId="15AD3299" w14:textId="032D35F9" w:rsidR="00031310" w:rsidRDefault="00EA4C4E">
      <w:pPr>
        <w:pStyle w:val="Heading3"/>
      </w:pPr>
      <w:bookmarkStart w:id="79" w:name="_Toc181041701"/>
      <w:r>
        <w:t xml:space="preserve">5.3.1 </w:t>
      </w:r>
      <w:bookmarkStart w:id="80" w:name="day-vnp16a2-or-vnp16a2gf"/>
      <w:r>
        <w:t>8-day VNP16A2 (or VNP16A2GF)</w:t>
      </w:r>
      <w:bookmarkEnd w:id="79"/>
      <w:bookmarkEnd w:id="80"/>
    </w:p>
    <w:p w14:paraId="307AD553" w14:textId="6BDBD78D" w:rsidR="00031310" w:rsidRDefault="00EA4C4E" w:rsidP="001138D4">
      <w:pPr>
        <w:ind w:left="0" w:firstLine="720"/>
        <w:jc w:val="both"/>
      </w:pPr>
      <w:r>
        <w:t xml:space="preserve">Table </w:t>
      </w:r>
      <w:r w:rsidR="00B825B3">
        <w:t>5.1</w:t>
      </w:r>
      <w:r>
        <w:t xml:space="preserve"> lists science data sets </w:t>
      </w:r>
      <w:r w:rsidR="004E79ED">
        <w:t xml:space="preserve">from </w:t>
      </w:r>
      <w:r>
        <w:t>the 8-day VNP16A2 and VNP16A2GF</w:t>
      </w:r>
      <w:r w:rsidR="004E79ED">
        <w:t xml:space="preserve"> records</w:t>
      </w:r>
      <w:r>
        <w:t xml:space="preserve">. ET_500m and potential ET (PET), PET_500m, are the summation of 8-day total water loss through ET, whereas the associated latent heat flux and its potential, LE_500m and PLE_500m, are the average total energy over a unit area for a unit day during the composite 8-day period. </w:t>
      </w:r>
      <w:r>
        <w:rPr>
          <w:b/>
          <w:bCs/>
        </w:rPr>
        <w:t>Please note that the last 8-day (VN</w:t>
      </w:r>
      <w:r w:rsidR="007E58A9">
        <w:rPr>
          <w:b/>
          <w:bCs/>
        </w:rPr>
        <w:t>P</w:t>
      </w:r>
      <w:r>
        <w:rPr>
          <w:b/>
          <w:bCs/>
        </w:rPr>
        <w:t>16A2.A20??361.*.h5df) of each year is not an 8-day span but either 6 (for a leap year) or 5 days (any other year).</w:t>
      </w:r>
    </w:p>
    <w:p w14:paraId="5D07B9AC" w14:textId="77777777" w:rsidR="00031310" w:rsidRDefault="00EA4C4E" w:rsidP="001138D4">
      <w:pPr>
        <w:spacing w:before="120" w:after="120"/>
        <w:ind w:left="0" w:firstLine="432"/>
        <w:jc w:val="both"/>
      </w:pPr>
      <w:r>
        <w:t>As listed in Table 3, for valid data (</w:t>
      </w:r>
      <w:proofErr w:type="spellStart"/>
      <w:r>
        <w:t>Valid_data</w:t>
      </w:r>
      <w:proofErr w:type="spellEnd"/>
      <w:r>
        <w:t xml:space="preserve"> with the valid range) of VNP16A2 (or VNP16A2GF), the real value (</w:t>
      </w:r>
      <w:proofErr w:type="spellStart"/>
      <w:r>
        <w:t>Real_value</w:t>
      </w:r>
      <w:proofErr w:type="spellEnd"/>
      <w:r>
        <w:t>) of each data set (ET, LE, PET or PLE) in the corresponding units (kg m</w:t>
      </w:r>
      <w:r>
        <w:rPr>
          <w:vertAlign w:val="superscript"/>
        </w:rPr>
        <w:t>-2</w:t>
      </w:r>
      <w:r>
        <w:t xml:space="preserve"> per 8 d or MJ m</w:t>
      </w:r>
      <w:r>
        <w:rPr>
          <w:vertAlign w:val="superscript"/>
        </w:rPr>
        <w:t>-2</w:t>
      </w:r>
      <w:r>
        <w:t xml:space="preserve"> per d) can be calculated using the following equation:</w:t>
      </w:r>
    </w:p>
    <w:p w14:paraId="0C6AD6D3" w14:textId="6C55C3A3" w:rsidR="00031310" w:rsidRDefault="00EA4C4E" w:rsidP="001138D4">
      <w:pPr>
        <w:pStyle w:val="BodyText"/>
        <w:ind w:firstLine="0"/>
        <w:jc w:val="both"/>
      </w:pPr>
      <m:oMath>
        <m:r>
          <m:rPr>
            <m:lit/>
            <m:nor/>
          </m:rPr>
          <w:rPr>
            <w:rFonts w:ascii="Cambria Math" w:hAnsi="Cambria Math"/>
          </w:rPr>
          <m:t>Real value</m:t>
        </m:r>
        <m:r>
          <w:rPr>
            <w:rFonts w:ascii="Cambria Math" w:hAnsi="Cambria Math"/>
          </w:rPr>
          <m:t>=</m:t>
        </m:r>
        <m:r>
          <m:rPr>
            <m:lit/>
            <m:nor/>
          </m:rPr>
          <w:rPr>
            <w:rFonts w:ascii="Cambria Math" w:hAnsi="Cambria Math"/>
          </w:rPr>
          <m:t>Valid_data</m:t>
        </m:r>
        <m:r>
          <w:rPr>
            <w:rFonts w:ascii="Cambria Math" w:hAnsi="Cambria Math"/>
          </w:rPr>
          <m:t>×</m:t>
        </m:r>
        <m:r>
          <m:rPr>
            <m:lit/>
            <m:nor/>
          </m:rPr>
          <w:rPr>
            <w:rFonts w:ascii="Cambria Math" w:hAnsi="Cambria Math"/>
          </w:rPr>
          <m:t>Scale_factor</m:t>
        </m:r>
      </m:oMath>
      <w:r>
        <w:tab/>
      </w:r>
      <w:r w:rsidR="00046AD6">
        <w:tab/>
      </w:r>
      <w:r w:rsidR="00046AD6">
        <w:tab/>
      </w:r>
      <w:r w:rsidR="00046AD6">
        <w:tab/>
      </w:r>
      <w:r w:rsidR="00046AD6">
        <w:tab/>
      </w:r>
      <w:r>
        <w:t>(</w:t>
      </w:r>
      <w:r w:rsidR="00B825B3">
        <w:t>5.1</w:t>
      </w:r>
      <w:r>
        <w:t>)</w:t>
      </w:r>
    </w:p>
    <w:p w14:paraId="79C0203C" w14:textId="77777777" w:rsidR="00031310" w:rsidRDefault="00031310">
      <w:pPr>
        <w:pStyle w:val="BodyText"/>
        <w:ind w:left="720" w:firstLine="0"/>
      </w:pPr>
    </w:p>
    <w:p w14:paraId="5AA197DB" w14:textId="313F392E" w:rsidR="00031310" w:rsidRDefault="00EA4C4E">
      <w:pPr>
        <w:pStyle w:val="TableCaption"/>
      </w:pPr>
      <w:r>
        <w:lastRenderedPageBreak/>
        <w:t xml:space="preserve">Table </w:t>
      </w:r>
      <w:r w:rsidR="00B825B3">
        <w:t>5.1</w:t>
      </w:r>
      <w:r>
        <w:t>: Detailed information on science datasets in VNP16A2 and VNP16A2GF</w:t>
      </w:r>
    </w:p>
    <w:tbl>
      <w:tblPr>
        <w:tblW w:w="9360" w:type="dxa"/>
        <w:tblInd w:w="113" w:type="dxa"/>
        <w:tblLayout w:type="fixed"/>
        <w:tblLook w:val="04A0" w:firstRow="1" w:lastRow="0" w:firstColumn="1" w:lastColumn="0" w:noHBand="0" w:noVBand="1"/>
      </w:tblPr>
      <w:tblGrid>
        <w:gridCol w:w="1710"/>
        <w:gridCol w:w="2069"/>
        <w:gridCol w:w="1189"/>
        <w:gridCol w:w="1061"/>
        <w:gridCol w:w="1800"/>
        <w:gridCol w:w="1531"/>
      </w:tblGrid>
      <w:tr w:rsidR="00031310" w14:paraId="759053A5" w14:textId="77777777">
        <w:tc>
          <w:tcPr>
            <w:tcW w:w="1710" w:type="dxa"/>
          </w:tcPr>
          <w:p w14:paraId="044B825B" w14:textId="77777777" w:rsidR="00031310" w:rsidRDefault="00EA4C4E">
            <w:pPr>
              <w:pStyle w:val="PlainText"/>
              <w:widowControl w:val="0"/>
              <w:tabs>
                <w:tab w:val="left" w:pos="1332"/>
              </w:tabs>
              <w:ind w:left="0"/>
              <w:jc w:val="both"/>
              <w:rPr>
                <w:b/>
                <w:bCs/>
              </w:rPr>
            </w:pPr>
            <w:r>
              <w:rPr>
                <w:rFonts w:ascii="Times New Roman" w:eastAsia="MS Mincho" w:hAnsi="Times New Roman" w:cs="Times New Roman"/>
                <w:b/>
                <w:bCs/>
                <w:sz w:val="24"/>
                <w:szCs w:val="24"/>
              </w:rPr>
              <w:t>Data Sets</w:t>
            </w:r>
          </w:p>
        </w:tc>
        <w:tc>
          <w:tcPr>
            <w:tcW w:w="2069" w:type="dxa"/>
          </w:tcPr>
          <w:p w14:paraId="5FD48FB5" w14:textId="77777777" w:rsidR="00031310" w:rsidRDefault="00EA4C4E">
            <w:pPr>
              <w:pStyle w:val="PlainText"/>
              <w:widowControl w:val="0"/>
              <w:tabs>
                <w:tab w:val="left" w:pos="1332"/>
              </w:tabs>
              <w:ind w:left="0"/>
              <w:jc w:val="both"/>
              <w:rPr>
                <w:b/>
                <w:bCs/>
              </w:rPr>
            </w:pPr>
            <w:r>
              <w:rPr>
                <w:rFonts w:ascii="Times New Roman" w:eastAsia="MS Mincho" w:hAnsi="Times New Roman" w:cs="Times New Roman"/>
                <w:b/>
                <w:bCs/>
                <w:sz w:val="24"/>
                <w:szCs w:val="24"/>
              </w:rPr>
              <w:t>Meaning</w:t>
            </w:r>
          </w:p>
        </w:tc>
        <w:tc>
          <w:tcPr>
            <w:tcW w:w="1189" w:type="dxa"/>
          </w:tcPr>
          <w:p w14:paraId="789A0ADC" w14:textId="77777777" w:rsidR="00031310" w:rsidRDefault="00EA4C4E">
            <w:pPr>
              <w:pStyle w:val="PlainText"/>
              <w:widowControl w:val="0"/>
              <w:tabs>
                <w:tab w:val="left" w:pos="1332"/>
              </w:tabs>
              <w:ind w:left="0"/>
              <w:jc w:val="both"/>
              <w:rPr>
                <w:b/>
                <w:bCs/>
              </w:rPr>
            </w:pPr>
            <w:r>
              <w:rPr>
                <w:rFonts w:ascii="Times New Roman" w:eastAsia="MS Mincho" w:hAnsi="Times New Roman" w:cs="Times New Roman"/>
                <w:b/>
                <w:bCs/>
                <w:sz w:val="24"/>
                <w:szCs w:val="24"/>
              </w:rPr>
              <w:t>Units</w:t>
            </w:r>
          </w:p>
        </w:tc>
        <w:tc>
          <w:tcPr>
            <w:tcW w:w="1061" w:type="dxa"/>
          </w:tcPr>
          <w:p w14:paraId="489FA0A5" w14:textId="6F7CB0CB" w:rsidR="00031310" w:rsidRDefault="00EA4C4E">
            <w:pPr>
              <w:pStyle w:val="PlainText"/>
              <w:widowControl w:val="0"/>
              <w:tabs>
                <w:tab w:val="left" w:pos="1332"/>
              </w:tabs>
              <w:ind w:left="0"/>
              <w:jc w:val="both"/>
              <w:rPr>
                <w:b/>
                <w:bCs/>
              </w:rPr>
            </w:pPr>
            <w:r>
              <w:rPr>
                <w:rFonts w:ascii="Times New Roman" w:eastAsia="MS Mincho" w:hAnsi="Times New Roman" w:cs="Times New Roman"/>
                <w:b/>
                <w:bCs/>
                <w:sz w:val="24"/>
                <w:szCs w:val="24"/>
              </w:rPr>
              <w:t>Dat</w:t>
            </w:r>
            <w:r w:rsidR="001138D4">
              <w:rPr>
                <w:rFonts w:ascii="Times New Roman" w:eastAsia="MS Mincho" w:hAnsi="Times New Roman" w:cs="Times New Roman"/>
                <w:b/>
                <w:bCs/>
                <w:sz w:val="24"/>
                <w:szCs w:val="24"/>
              </w:rPr>
              <w:t>a</w:t>
            </w:r>
            <w:r>
              <w:rPr>
                <w:rFonts w:ascii="Times New Roman" w:eastAsia="MS Mincho" w:hAnsi="Times New Roman" w:cs="Times New Roman"/>
                <w:b/>
                <w:bCs/>
                <w:sz w:val="24"/>
                <w:szCs w:val="24"/>
              </w:rPr>
              <w:t xml:space="preserve"> Type</w:t>
            </w:r>
          </w:p>
        </w:tc>
        <w:tc>
          <w:tcPr>
            <w:tcW w:w="1800" w:type="dxa"/>
          </w:tcPr>
          <w:p w14:paraId="2EE2A432" w14:textId="77777777" w:rsidR="00031310" w:rsidRDefault="00EA4C4E">
            <w:pPr>
              <w:pStyle w:val="PlainText"/>
              <w:widowControl w:val="0"/>
              <w:tabs>
                <w:tab w:val="left" w:pos="1332"/>
              </w:tabs>
              <w:ind w:left="0"/>
              <w:jc w:val="both"/>
              <w:rPr>
                <w:b/>
                <w:bCs/>
              </w:rPr>
            </w:pPr>
            <w:r>
              <w:rPr>
                <w:rFonts w:ascii="Times New Roman" w:eastAsia="MS Mincho" w:hAnsi="Times New Roman" w:cs="Times New Roman"/>
                <w:b/>
                <w:bCs/>
                <w:sz w:val="24"/>
                <w:szCs w:val="24"/>
              </w:rPr>
              <w:t>Valid Range</w:t>
            </w:r>
          </w:p>
        </w:tc>
        <w:tc>
          <w:tcPr>
            <w:tcW w:w="1531" w:type="dxa"/>
          </w:tcPr>
          <w:p w14:paraId="47C1EC3A" w14:textId="77777777" w:rsidR="00031310" w:rsidRDefault="00EA4C4E">
            <w:pPr>
              <w:pStyle w:val="PlainText"/>
              <w:widowControl w:val="0"/>
              <w:tabs>
                <w:tab w:val="left" w:pos="1332"/>
              </w:tabs>
              <w:ind w:left="0"/>
              <w:jc w:val="both"/>
              <w:rPr>
                <w:b/>
                <w:bCs/>
              </w:rPr>
            </w:pPr>
            <w:r>
              <w:rPr>
                <w:rFonts w:ascii="Times New Roman" w:eastAsia="MS Mincho" w:hAnsi="Times New Roman" w:cs="Times New Roman"/>
                <w:b/>
                <w:bCs/>
                <w:sz w:val="24"/>
                <w:szCs w:val="24"/>
              </w:rPr>
              <w:t>Scale  Factor</w:t>
            </w:r>
          </w:p>
        </w:tc>
      </w:tr>
      <w:tr w:rsidR="00031310" w14:paraId="2290BA73" w14:textId="77777777">
        <w:tc>
          <w:tcPr>
            <w:tcW w:w="1710" w:type="dxa"/>
          </w:tcPr>
          <w:p w14:paraId="3CE5D455"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ET_500m</w:t>
            </w:r>
          </w:p>
        </w:tc>
        <w:tc>
          <w:tcPr>
            <w:tcW w:w="2069" w:type="dxa"/>
          </w:tcPr>
          <w:p w14:paraId="580F903A"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8-day total ET</w:t>
            </w:r>
          </w:p>
        </w:tc>
        <w:tc>
          <w:tcPr>
            <w:tcW w:w="1189" w:type="dxa"/>
          </w:tcPr>
          <w:p w14:paraId="681CE89E"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kg/m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/8d</w:t>
            </w:r>
          </w:p>
        </w:tc>
        <w:tc>
          <w:tcPr>
            <w:tcW w:w="1061" w:type="dxa"/>
          </w:tcPr>
          <w:p w14:paraId="3814F6A7"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int16</w:t>
            </w:r>
          </w:p>
        </w:tc>
        <w:tc>
          <w:tcPr>
            <w:tcW w:w="1800" w:type="dxa"/>
          </w:tcPr>
          <w:p w14:paraId="174724CF" w14:textId="1D974446" w:rsidR="00031310" w:rsidRDefault="00EA4C4E">
            <w:pPr>
              <w:pStyle w:val="PlainText"/>
              <w:widowControl w:val="0"/>
              <w:tabs>
                <w:tab w:val="left" w:pos="1332"/>
              </w:tabs>
              <w:ind w:left="0"/>
              <w:jc w:val="both"/>
            </w:pPr>
            <w:r>
              <w:rPr>
                <w:rFonts w:ascii="Times New Roman" w:eastAsia="MS Mincho" w:hAnsi="Times New Roman" w:cs="Times New Roman"/>
                <w:sz w:val="24"/>
                <w:szCs w:val="24"/>
              </w:rPr>
              <w:t>-3276</w:t>
            </w:r>
            <w:r w:rsidR="001138D4">
              <w:rPr>
                <w:rFonts w:ascii="Times New Roman" w:eastAsia="MS Mincho" w:hAnsi="Times New Roman" w:cs="Times New Roman"/>
                <w:sz w:val="24"/>
                <w:szCs w:val="24"/>
              </w:rPr>
              <w:t>8</w:t>
            </w:r>
            <w:r>
              <w:rPr>
                <w:rFonts w:ascii="Times New Roman" w:eastAsia="MS Mincho" w:hAnsi="Times New Roman" w:cs="Times New Roman"/>
                <w:sz w:val="24"/>
                <w:szCs w:val="24"/>
              </w:rPr>
              <w:t xml:space="preserve"> ~ 32700</w:t>
            </w:r>
          </w:p>
        </w:tc>
        <w:tc>
          <w:tcPr>
            <w:tcW w:w="1531" w:type="dxa"/>
          </w:tcPr>
          <w:p w14:paraId="1F5BDF42"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0.1</w:t>
            </w:r>
          </w:p>
        </w:tc>
      </w:tr>
      <w:tr w:rsidR="00031310" w14:paraId="509EF2F5" w14:textId="77777777">
        <w:tc>
          <w:tcPr>
            <w:tcW w:w="1710" w:type="dxa"/>
          </w:tcPr>
          <w:p w14:paraId="254D8E98"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LE_500m</w:t>
            </w:r>
          </w:p>
        </w:tc>
        <w:tc>
          <w:tcPr>
            <w:tcW w:w="2069" w:type="dxa"/>
          </w:tcPr>
          <w:p w14:paraId="2B641544"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8-day average LE</w:t>
            </w:r>
          </w:p>
        </w:tc>
        <w:tc>
          <w:tcPr>
            <w:tcW w:w="1189" w:type="dxa"/>
          </w:tcPr>
          <w:p w14:paraId="3990A673"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MJ/m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/d</w:t>
            </w:r>
          </w:p>
        </w:tc>
        <w:tc>
          <w:tcPr>
            <w:tcW w:w="1061" w:type="dxa"/>
          </w:tcPr>
          <w:p w14:paraId="7D4E4DF5"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int16</w:t>
            </w:r>
          </w:p>
        </w:tc>
        <w:tc>
          <w:tcPr>
            <w:tcW w:w="1800" w:type="dxa"/>
          </w:tcPr>
          <w:p w14:paraId="4011BB72" w14:textId="4F22F3E4" w:rsidR="00031310" w:rsidRDefault="00EA4C4E">
            <w:pPr>
              <w:pStyle w:val="PlainText"/>
              <w:widowControl w:val="0"/>
              <w:tabs>
                <w:tab w:val="left" w:pos="1332"/>
              </w:tabs>
              <w:ind w:left="0"/>
              <w:jc w:val="both"/>
            </w:pPr>
            <w:r>
              <w:rPr>
                <w:rFonts w:ascii="Times New Roman" w:eastAsia="MS Mincho" w:hAnsi="Times New Roman" w:cs="Times New Roman"/>
                <w:sz w:val="24"/>
                <w:szCs w:val="24"/>
              </w:rPr>
              <w:t>-3276</w:t>
            </w:r>
            <w:r w:rsidR="001138D4">
              <w:rPr>
                <w:rFonts w:ascii="Times New Roman" w:eastAsia="MS Mincho" w:hAnsi="Times New Roman" w:cs="Times New Roman"/>
                <w:sz w:val="24"/>
                <w:szCs w:val="24"/>
              </w:rPr>
              <w:t>8</w:t>
            </w:r>
            <w:r>
              <w:rPr>
                <w:rFonts w:ascii="Times New Roman" w:eastAsia="MS Mincho" w:hAnsi="Times New Roman" w:cs="Times New Roman"/>
                <w:sz w:val="24"/>
                <w:szCs w:val="24"/>
              </w:rPr>
              <w:t xml:space="preserve"> ~ 32700</w:t>
            </w:r>
          </w:p>
        </w:tc>
        <w:tc>
          <w:tcPr>
            <w:tcW w:w="1531" w:type="dxa"/>
          </w:tcPr>
          <w:p w14:paraId="0350DF9B"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0.01</w:t>
            </w:r>
          </w:p>
        </w:tc>
      </w:tr>
      <w:tr w:rsidR="00031310" w14:paraId="72D19F4F" w14:textId="77777777">
        <w:tc>
          <w:tcPr>
            <w:tcW w:w="1710" w:type="dxa"/>
          </w:tcPr>
          <w:p w14:paraId="7CDB7CF1"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PET_500m</w:t>
            </w:r>
          </w:p>
        </w:tc>
        <w:tc>
          <w:tcPr>
            <w:tcW w:w="2069" w:type="dxa"/>
          </w:tcPr>
          <w:p w14:paraId="0B551587"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8-day total PET</w:t>
            </w:r>
          </w:p>
        </w:tc>
        <w:tc>
          <w:tcPr>
            <w:tcW w:w="1189" w:type="dxa"/>
          </w:tcPr>
          <w:p w14:paraId="5A2785C7"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kg/m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/8d</w:t>
            </w:r>
          </w:p>
        </w:tc>
        <w:tc>
          <w:tcPr>
            <w:tcW w:w="1061" w:type="dxa"/>
          </w:tcPr>
          <w:p w14:paraId="394403CD"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int16</w:t>
            </w:r>
          </w:p>
        </w:tc>
        <w:tc>
          <w:tcPr>
            <w:tcW w:w="1800" w:type="dxa"/>
          </w:tcPr>
          <w:p w14:paraId="0152A784" w14:textId="0AF3501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-3276</w:t>
            </w:r>
            <w:r w:rsidR="001138D4">
              <w:rPr>
                <w:rFonts w:ascii="Times New Roman" w:eastAsia="MS Mincho" w:hAnsi="Times New Roman" w:cs="Times New Roman"/>
                <w:sz w:val="24"/>
                <w:szCs w:val="24"/>
              </w:rPr>
              <w:t>8</w:t>
            </w:r>
            <w:r>
              <w:rPr>
                <w:rFonts w:ascii="Times New Roman" w:eastAsia="MS Mincho" w:hAnsi="Times New Roman" w:cs="Times New Roman"/>
                <w:sz w:val="24"/>
                <w:szCs w:val="24"/>
              </w:rPr>
              <w:t xml:space="preserve"> ~ 32700</w:t>
            </w:r>
          </w:p>
        </w:tc>
        <w:tc>
          <w:tcPr>
            <w:tcW w:w="1531" w:type="dxa"/>
          </w:tcPr>
          <w:p w14:paraId="5AF136D6"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0.1</w:t>
            </w:r>
          </w:p>
        </w:tc>
      </w:tr>
      <w:tr w:rsidR="00031310" w14:paraId="7C45473C" w14:textId="77777777">
        <w:tc>
          <w:tcPr>
            <w:tcW w:w="1710" w:type="dxa"/>
          </w:tcPr>
          <w:p w14:paraId="6ED990C2"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PLE_500m</w:t>
            </w:r>
          </w:p>
        </w:tc>
        <w:tc>
          <w:tcPr>
            <w:tcW w:w="2069" w:type="dxa"/>
          </w:tcPr>
          <w:p w14:paraId="2B935472"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8-day average PLE</w:t>
            </w:r>
          </w:p>
        </w:tc>
        <w:tc>
          <w:tcPr>
            <w:tcW w:w="1189" w:type="dxa"/>
          </w:tcPr>
          <w:p w14:paraId="4E1B5787"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MJ/m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/d</w:t>
            </w:r>
          </w:p>
        </w:tc>
        <w:tc>
          <w:tcPr>
            <w:tcW w:w="1061" w:type="dxa"/>
          </w:tcPr>
          <w:p w14:paraId="09F9C624"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int16</w:t>
            </w:r>
          </w:p>
        </w:tc>
        <w:tc>
          <w:tcPr>
            <w:tcW w:w="1800" w:type="dxa"/>
          </w:tcPr>
          <w:p w14:paraId="4E32FC5D" w14:textId="3354492A" w:rsidR="00031310" w:rsidRDefault="00EA4C4E">
            <w:pPr>
              <w:pStyle w:val="PlainText"/>
              <w:widowControl w:val="0"/>
              <w:tabs>
                <w:tab w:val="left" w:pos="1332"/>
              </w:tabs>
              <w:ind w:left="0"/>
              <w:jc w:val="both"/>
            </w:pPr>
            <w:r>
              <w:rPr>
                <w:rFonts w:ascii="Times New Roman" w:eastAsia="MS Mincho" w:hAnsi="Times New Roman" w:cs="Times New Roman"/>
                <w:sz w:val="24"/>
                <w:szCs w:val="24"/>
              </w:rPr>
              <w:t>-3276</w:t>
            </w:r>
            <w:r w:rsidR="001138D4">
              <w:rPr>
                <w:rFonts w:ascii="Times New Roman" w:eastAsia="MS Mincho" w:hAnsi="Times New Roman" w:cs="Times New Roman"/>
                <w:sz w:val="24"/>
                <w:szCs w:val="24"/>
              </w:rPr>
              <w:t>8</w:t>
            </w:r>
            <w:r>
              <w:rPr>
                <w:rFonts w:ascii="Times New Roman" w:eastAsia="MS Mincho" w:hAnsi="Times New Roman" w:cs="Times New Roman"/>
                <w:sz w:val="24"/>
                <w:szCs w:val="24"/>
              </w:rPr>
              <w:t xml:space="preserve"> ~ 32700</w:t>
            </w:r>
          </w:p>
        </w:tc>
        <w:tc>
          <w:tcPr>
            <w:tcW w:w="1531" w:type="dxa"/>
          </w:tcPr>
          <w:p w14:paraId="150858D9"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0.01</w:t>
            </w:r>
          </w:p>
        </w:tc>
      </w:tr>
      <w:tr w:rsidR="00031310" w14:paraId="6CC2375A" w14:textId="77777777">
        <w:tc>
          <w:tcPr>
            <w:tcW w:w="1710" w:type="dxa"/>
          </w:tcPr>
          <w:p w14:paraId="08CAB0CD"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ET_QC_500m</w:t>
            </w:r>
          </w:p>
        </w:tc>
        <w:tc>
          <w:tcPr>
            <w:tcW w:w="2069" w:type="dxa"/>
          </w:tcPr>
          <w:p w14:paraId="62ED6071"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Quality Control</w:t>
            </w:r>
          </w:p>
        </w:tc>
        <w:tc>
          <w:tcPr>
            <w:tcW w:w="1189" w:type="dxa"/>
          </w:tcPr>
          <w:p w14:paraId="4799C331"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none</w:t>
            </w:r>
          </w:p>
        </w:tc>
        <w:tc>
          <w:tcPr>
            <w:tcW w:w="1061" w:type="dxa"/>
          </w:tcPr>
          <w:p w14:paraId="70E1F71B"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uint8</w:t>
            </w:r>
          </w:p>
        </w:tc>
        <w:tc>
          <w:tcPr>
            <w:tcW w:w="1800" w:type="dxa"/>
          </w:tcPr>
          <w:p w14:paraId="27D1AB84" w14:textId="77777777" w:rsidR="00031310" w:rsidRDefault="00EA4C4E">
            <w:pPr>
              <w:pStyle w:val="PlainText"/>
              <w:widowControl w:val="0"/>
              <w:tabs>
                <w:tab w:val="left" w:pos="1332"/>
              </w:tabs>
              <w:ind w:left="0"/>
              <w:jc w:val="both"/>
            </w:pPr>
            <w:r>
              <w:rPr>
                <w:rFonts w:ascii="Times New Roman" w:eastAsia="MS Mincho" w:hAnsi="Times New Roman" w:cs="Times New Roman"/>
                <w:sz w:val="24"/>
                <w:szCs w:val="24"/>
              </w:rPr>
              <w:t>0 ~ 254</w:t>
            </w:r>
          </w:p>
        </w:tc>
        <w:tc>
          <w:tcPr>
            <w:tcW w:w="1531" w:type="dxa"/>
          </w:tcPr>
          <w:p w14:paraId="31AD9F3A" w14:textId="77777777" w:rsidR="00031310" w:rsidRDefault="00EA4C4E">
            <w:pPr>
              <w:pStyle w:val="PlainText"/>
              <w:widowControl w:val="0"/>
              <w:tabs>
                <w:tab w:val="left" w:pos="1332"/>
              </w:tabs>
              <w:ind w:left="0"/>
              <w:jc w:val="both"/>
              <w:rPr>
                <w:rFonts w:ascii="Times New Roman" w:eastAsia="MS Mincho" w:hAnsi="Times New Roman" w:cs="Times New Roman"/>
                <w:sz w:val="24"/>
                <w:szCs w:val="24"/>
              </w:rPr>
            </w:pPr>
            <w:r>
              <w:rPr>
                <w:rFonts w:ascii="Times New Roman" w:eastAsia="MS Mincho" w:hAnsi="Times New Roman" w:cs="Times New Roman"/>
                <w:sz w:val="24"/>
                <w:szCs w:val="24"/>
              </w:rPr>
              <w:t>none</w:t>
            </w:r>
          </w:p>
        </w:tc>
      </w:tr>
    </w:tbl>
    <w:p w14:paraId="71D27C3E" w14:textId="77777777" w:rsidR="00031310" w:rsidRDefault="00031310"/>
    <w:p w14:paraId="32F53CCD" w14:textId="357055E8" w:rsidR="00031310" w:rsidRDefault="00EA4C4E" w:rsidP="005B4B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120" w:after="120"/>
        <w:ind w:left="0" w:firstLine="432"/>
        <w:jc w:val="both"/>
        <w:rPr>
          <w:rFonts w:eastAsia="MS Mincho"/>
          <w:bCs/>
        </w:rPr>
      </w:pPr>
      <w:r>
        <w:rPr>
          <w:rFonts w:eastAsia="MS Mincho"/>
          <w:bCs/>
        </w:rPr>
        <w:t>All data sets in VNP16A2 (or VNP</w:t>
      </w:r>
      <w:r>
        <w:t>16A2GF</w:t>
      </w:r>
      <w:r>
        <w:rPr>
          <w:rFonts w:eastAsia="MS Mincho"/>
          <w:bCs/>
        </w:rPr>
        <w:t xml:space="preserve">), except the Quality Control (QC) field, ET_QC_500m, have valid </w:t>
      </w:r>
      <w:r w:rsidR="00046AD6">
        <w:rPr>
          <w:rFonts w:eastAsia="MS Mincho"/>
          <w:bCs/>
        </w:rPr>
        <w:t xml:space="preserve">data </w:t>
      </w:r>
      <w:r>
        <w:rPr>
          <w:rFonts w:eastAsia="MS Mincho"/>
          <w:bCs/>
        </w:rPr>
        <w:t>values ranging from -3276</w:t>
      </w:r>
      <w:r w:rsidR="000E31D0">
        <w:rPr>
          <w:rFonts w:eastAsia="MS Mincho"/>
          <w:bCs/>
        </w:rPr>
        <w:t>8</w:t>
      </w:r>
      <w:r>
        <w:rPr>
          <w:rFonts w:eastAsia="MS Mincho"/>
          <w:bCs/>
        </w:rPr>
        <w:t xml:space="preserve"> to 32700 and are stored as signed 2-byte short integer</w:t>
      </w:r>
      <w:r w:rsidR="00046AD6">
        <w:rPr>
          <w:rFonts w:eastAsia="MS Mincho"/>
          <w:bCs/>
        </w:rPr>
        <w:t>s</w:t>
      </w:r>
      <w:r>
        <w:rPr>
          <w:rFonts w:eastAsia="MS Mincho"/>
          <w:bCs/>
        </w:rPr>
        <w:t xml:space="preserve"> (int16). Though data attributes list just one _</w:t>
      </w:r>
      <w:proofErr w:type="spellStart"/>
      <w:r>
        <w:rPr>
          <w:rFonts w:eastAsia="MS Mincho"/>
          <w:bCs/>
        </w:rPr>
        <w:t>FillValue</w:t>
      </w:r>
      <w:proofErr w:type="spellEnd"/>
      <w:r>
        <w:rPr>
          <w:rFonts w:eastAsia="MS Mincho"/>
          <w:bCs/>
        </w:rPr>
        <w:t>: 32767 in the head</w:t>
      </w:r>
      <w:r w:rsidR="00046AD6">
        <w:rPr>
          <w:rFonts w:eastAsia="MS Mincho"/>
          <w:bCs/>
        </w:rPr>
        <w:t>er</w:t>
      </w:r>
      <w:r>
        <w:rPr>
          <w:rFonts w:eastAsia="MS Mincho"/>
          <w:bCs/>
        </w:rPr>
        <w:t xml:space="preserve"> file of VNP16A2 (or VNP16A2GF), there are, in fact, 7 fill values </w:t>
      </w:r>
      <w:r w:rsidR="00046AD6">
        <w:rPr>
          <w:rFonts w:eastAsia="MS Mincho"/>
          <w:bCs/>
        </w:rPr>
        <w:t>(</w:t>
      </w:r>
      <w:r>
        <w:rPr>
          <w:rFonts w:eastAsia="MS Mincho"/>
          <w:bCs/>
        </w:rPr>
        <w:t>listed below</w:t>
      </w:r>
      <w:r w:rsidR="00046AD6">
        <w:rPr>
          <w:rFonts w:eastAsia="MS Mincho"/>
          <w:bCs/>
        </w:rPr>
        <w:t>)</w:t>
      </w:r>
      <w:r>
        <w:rPr>
          <w:rFonts w:eastAsia="MS Mincho"/>
          <w:bCs/>
        </w:rPr>
        <w:t xml:space="preserve"> for non-vegetated pixels. ET is not calculated for pixels with </w:t>
      </w:r>
      <w:r w:rsidR="00046AD6">
        <w:rPr>
          <w:rFonts w:eastAsia="MS Mincho"/>
          <w:bCs/>
        </w:rPr>
        <w:t xml:space="preserve">the following </w:t>
      </w:r>
      <w:r>
        <w:rPr>
          <w:rFonts w:eastAsia="MS Mincho"/>
          <w:bCs/>
        </w:rPr>
        <w:t>fill values</w:t>
      </w:r>
      <w:r w:rsidR="00046AD6">
        <w:rPr>
          <w:rFonts w:eastAsia="MS Mincho"/>
          <w:bCs/>
        </w:rPr>
        <w:t>:</w:t>
      </w:r>
    </w:p>
    <w:p w14:paraId="052A5C11"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32767 = _</w:t>
      </w:r>
      <w:proofErr w:type="spellStart"/>
      <w:r>
        <w:rPr>
          <w:rFonts w:eastAsia="MS Mincho"/>
          <w:bCs/>
        </w:rPr>
        <w:t>Fillvalue</w:t>
      </w:r>
      <w:proofErr w:type="spellEnd"/>
    </w:p>
    <w:p w14:paraId="451AB89D"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32766 = land cover assigned as perennial salt or Water bodies</w:t>
      </w:r>
    </w:p>
    <w:p w14:paraId="2D2940F8"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32765 = land cover assigned as barren, sparse veg (rock, tundra, desert)</w:t>
      </w:r>
    </w:p>
    <w:p w14:paraId="22AE2D15"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32764 = land cover assigned as perennial snow, ice.</w:t>
      </w:r>
    </w:p>
    <w:p w14:paraId="0F0440F2"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32763 = land cover assigned as "permanent" wetlands/inundated marshland</w:t>
      </w:r>
    </w:p>
    <w:p w14:paraId="313C2DE0"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32762 = land cover assigned as urban/built-up</w:t>
      </w:r>
    </w:p>
    <w:p w14:paraId="6CB8B96C"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32761 = land cover assigned as "unclassified" or (not able to determine)</w:t>
      </w:r>
    </w:p>
    <w:p w14:paraId="05AE5647"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r>
        <w:rPr>
          <w:rFonts w:eastAsia="MS Mincho"/>
          <w:bCs/>
        </w:rPr>
        <w:t>32767 = _</w:t>
      </w:r>
      <w:proofErr w:type="spellStart"/>
      <w:r>
        <w:rPr>
          <w:rFonts w:eastAsia="MS Mincho"/>
          <w:bCs/>
        </w:rPr>
        <w:t>Fillvalue</w:t>
      </w:r>
      <w:proofErr w:type="spellEnd"/>
    </w:p>
    <w:p w14:paraId="0C30A6F5" w14:textId="77777777" w:rsidR="00031310" w:rsidRDefault="000313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firstLine="720"/>
        <w:jc w:val="both"/>
        <w:rPr>
          <w:rFonts w:eastAsia="MS Mincho"/>
          <w:bCs/>
        </w:rPr>
      </w:pPr>
    </w:p>
    <w:p w14:paraId="4181AB38" w14:textId="7042B8B6" w:rsidR="00031310" w:rsidRDefault="00EA4C4E" w:rsidP="005B4B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120" w:after="120"/>
        <w:ind w:left="0" w:firstLine="432"/>
        <w:jc w:val="both"/>
        <w:rPr>
          <w:rFonts w:eastAsia="MS Mincho"/>
          <w:bCs/>
        </w:rPr>
      </w:pPr>
      <w:r>
        <w:rPr>
          <w:rFonts w:eastAsia="MS Mincho"/>
          <w:bCs/>
        </w:rPr>
        <w:t xml:space="preserve">Note: two fill values, 251 and 252, in the </w:t>
      </w:r>
      <w:r w:rsidR="00C82B1C">
        <w:rPr>
          <w:rFonts w:eastAsia="MS Mincho"/>
          <w:bCs/>
        </w:rPr>
        <w:t xml:space="preserve">upstream </w:t>
      </w:r>
      <w:r>
        <w:rPr>
          <w:rFonts w:eastAsia="MS Mincho"/>
          <w:bCs/>
        </w:rPr>
        <w:t xml:space="preserve">VIIRS FPAR/LAI </w:t>
      </w:r>
      <w:r w:rsidR="00C82B1C">
        <w:rPr>
          <w:rFonts w:eastAsia="MS Mincho"/>
          <w:bCs/>
        </w:rPr>
        <w:t xml:space="preserve">inputs to the ET algorithm </w:t>
      </w:r>
      <w:r>
        <w:rPr>
          <w:rFonts w:eastAsia="MS Mincho"/>
          <w:bCs/>
        </w:rPr>
        <w:t>are mislabeled as 253; as a result, the subsequent VIIRS 8-day ET_500m, LE_500m, PET_500m and PLE_500m</w:t>
      </w:r>
      <w:r w:rsidR="00C82B1C">
        <w:rPr>
          <w:rFonts w:eastAsia="MS Mincho"/>
          <w:bCs/>
        </w:rPr>
        <w:t xml:space="preserve"> products</w:t>
      </w:r>
      <w:r>
        <w:rPr>
          <w:rFonts w:eastAsia="MS Mincho"/>
          <w:bCs/>
        </w:rPr>
        <w:t xml:space="preserve"> also have two mislabeled fill values (32763 and 32764 mislabeled as 32765) because of data dependence. The fill values for those datasets are:</w:t>
      </w:r>
    </w:p>
    <w:p w14:paraId="26924F3F" w14:textId="77777777" w:rsidR="00031310" w:rsidRDefault="000313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firstLine="720"/>
        <w:jc w:val="both"/>
        <w:rPr>
          <w:rFonts w:eastAsia="MS Mincho"/>
          <w:bCs/>
        </w:rPr>
      </w:pPr>
    </w:p>
    <w:p w14:paraId="55F6FDCD" w14:textId="50DCFDA1" w:rsidR="00031310" w:rsidRDefault="00B825B3" w:rsidP="003D2B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r>
        <w:rPr>
          <w:rFonts w:eastAsia="MS Mincho"/>
          <w:bCs/>
        </w:rPr>
        <w:tab/>
      </w:r>
      <w:r w:rsidR="00EA4C4E">
        <w:rPr>
          <w:rFonts w:eastAsia="MS Mincho"/>
          <w:bCs/>
        </w:rPr>
        <w:t>32766 = land cover assigned as perennial salt or Water bodies</w:t>
      </w:r>
    </w:p>
    <w:p w14:paraId="56E4159B" w14:textId="2EAC9334" w:rsidR="00B825B3" w:rsidRDefault="00B825B3" w:rsidP="00CF0D3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hanging="562"/>
        <w:jc w:val="both"/>
        <w:rPr>
          <w:rFonts w:eastAsia="MS Mincho"/>
          <w:bCs/>
        </w:rPr>
      </w:pPr>
      <w:r>
        <w:rPr>
          <w:rFonts w:eastAsia="MS Mincho"/>
          <w:bCs/>
        </w:rPr>
        <w:tab/>
        <w:t>32765 = land cover assigned as barren, sparse veg (rock, tundra, desert)</w:t>
      </w:r>
    </w:p>
    <w:p w14:paraId="0C207FCF" w14:textId="237291BA" w:rsidR="00031310" w:rsidRDefault="00B825B3" w:rsidP="00CF0D3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r>
        <w:rPr>
          <w:rFonts w:eastAsia="MS Mincho"/>
          <w:bCs/>
        </w:rPr>
        <w:tab/>
      </w:r>
      <w:r w:rsidR="00EA4C4E">
        <w:rPr>
          <w:rFonts w:eastAsia="MS Mincho"/>
          <w:bCs/>
        </w:rPr>
        <w:t>32764 = land cover assigned as perennial snow, ice.</w:t>
      </w:r>
    </w:p>
    <w:p w14:paraId="55D3D096" w14:textId="74A7CCA1" w:rsidR="00031310" w:rsidRDefault="00B825B3" w:rsidP="00CF0D3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r>
        <w:rPr>
          <w:rFonts w:eastAsia="MS Mincho"/>
          <w:bCs/>
        </w:rPr>
        <w:tab/>
      </w:r>
      <w:r w:rsidR="00EA4C4E">
        <w:rPr>
          <w:rFonts w:eastAsia="MS Mincho"/>
          <w:bCs/>
        </w:rPr>
        <w:t>32763 = land cover assigned as "permanent" wetlands/inundated marshland</w:t>
      </w:r>
    </w:p>
    <w:p w14:paraId="39F5E0A9" w14:textId="28592200" w:rsidR="00031310" w:rsidRDefault="00B825B3" w:rsidP="00CF0D3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r>
        <w:rPr>
          <w:rFonts w:eastAsia="MS Mincho"/>
          <w:bCs/>
        </w:rPr>
        <w:tab/>
      </w:r>
      <w:r w:rsidR="00EA4C4E">
        <w:rPr>
          <w:rFonts w:eastAsia="MS Mincho"/>
          <w:bCs/>
        </w:rPr>
        <w:t>32762 = land cover assigned as urban/built-up</w:t>
      </w:r>
    </w:p>
    <w:p w14:paraId="28B888E4" w14:textId="1B92732A" w:rsidR="00031310" w:rsidRDefault="00B825B3" w:rsidP="00CF0D3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r>
        <w:rPr>
          <w:rFonts w:eastAsia="MS Mincho"/>
          <w:bCs/>
        </w:rPr>
        <w:tab/>
      </w:r>
      <w:r w:rsidR="00EA4C4E">
        <w:rPr>
          <w:rFonts w:eastAsia="MS Mincho"/>
          <w:bCs/>
        </w:rPr>
        <w:t>32761 = land cover assigned as "unclassified" or (not able to determine)</w:t>
      </w:r>
    </w:p>
    <w:p w14:paraId="4A684FF8" w14:textId="77777777" w:rsidR="00031310" w:rsidRDefault="000313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p>
    <w:p w14:paraId="1ED0BF54" w14:textId="7A13F8B8" w:rsidR="00031310" w:rsidRDefault="00EA4C4E" w:rsidP="005B4B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120" w:after="120"/>
        <w:ind w:left="0" w:firstLine="432"/>
        <w:jc w:val="both"/>
        <w:rPr>
          <w:rFonts w:eastAsia="MS Mincho"/>
          <w:bCs/>
        </w:rPr>
      </w:pPr>
      <w:r>
        <w:rPr>
          <w:rFonts w:eastAsia="MS Mincho"/>
          <w:bCs/>
        </w:rPr>
        <w:t xml:space="preserve">The QC data layer, ET_QC_500m, consists of bitflags from two QC data fields, </w:t>
      </w:r>
      <w:proofErr w:type="spellStart"/>
      <w:r>
        <w:rPr>
          <w:rFonts w:eastAsia="MS Mincho"/>
          <w:bCs/>
        </w:rPr>
        <w:t>FparLai_QC</w:t>
      </w:r>
      <w:proofErr w:type="spellEnd"/>
      <w:r>
        <w:rPr>
          <w:rFonts w:eastAsia="MS Mincho"/>
          <w:bCs/>
        </w:rPr>
        <w:t xml:space="preserve"> and </w:t>
      </w:r>
      <w:proofErr w:type="spellStart"/>
      <w:r>
        <w:rPr>
          <w:rFonts w:eastAsia="MS Mincho"/>
          <w:bCs/>
        </w:rPr>
        <w:t>FparExtra_QC</w:t>
      </w:r>
      <w:proofErr w:type="spellEnd"/>
      <w:r>
        <w:rPr>
          <w:rFonts w:eastAsia="MS Mincho"/>
          <w:bCs/>
        </w:rPr>
        <w:t xml:space="preserve">, from the upstream VNP15A2H of the corresponding 8-day period. Detailed bitflag information on those two QC data fields is below. </w:t>
      </w:r>
    </w:p>
    <w:p w14:paraId="4948B203" w14:textId="77777777" w:rsidR="00031310" w:rsidRDefault="000313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firstLine="720"/>
        <w:jc w:val="both"/>
        <w:rPr>
          <w:rFonts w:eastAsia="MS Mincho"/>
          <w:bCs/>
        </w:rPr>
      </w:pPr>
    </w:p>
    <w:p w14:paraId="04E1F549" w14:textId="5C6C526E" w:rsidR="00031310" w:rsidRDefault="00EA4C4E" w:rsidP="00BB4890">
      <w:pPr>
        <w:pStyle w:val="TableCaption"/>
      </w:pPr>
      <w:r>
        <w:t xml:space="preserve">Table </w:t>
      </w:r>
      <w:r w:rsidR="00B825B3">
        <w:t>5.2</w:t>
      </w:r>
      <w:r>
        <w:t>: Explanation of QC bit flags used in the ET_QC_500m dataset.</w:t>
      </w:r>
    </w:p>
    <w:tbl>
      <w:tblPr>
        <w:tblW w:w="5000" w:type="pct"/>
        <w:tblInd w:w="29" w:type="dxa"/>
        <w:tblLayout w:type="fixed"/>
        <w:tblCellMar>
          <w:top w:w="29" w:type="dxa"/>
          <w:left w:w="29" w:type="dxa"/>
          <w:bottom w:w="29" w:type="dxa"/>
          <w:right w:w="29" w:type="dxa"/>
        </w:tblCellMar>
        <w:tblLook w:val="04A0" w:firstRow="1" w:lastRow="0" w:firstColumn="1" w:lastColumn="0" w:noHBand="0" w:noVBand="1"/>
      </w:tblPr>
      <w:tblGrid>
        <w:gridCol w:w="2880"/>
        <w:gridCol w:w="6480"/>
      </w:tblGrid>
      <w:tr w:rsidR="00031310" w14:paraId="5D1C19DC" w14:textId="77777777">
        <w:trPr>
          <w:tblHeader/>
        </w:trPr>
        <w:tc>
          <w:tcPr>
            <w:tcW w:w="2880" w:type="dxa"/>
          </w:tcPr>
          <w:p w14:paraId="6B8B9CFA" w14:textId="77777777" w:rsidR="00031310" w:rsidRDefault="00EA4C4E">
            <w:pPr>
              <w:pStyle w:val="TableHeading"/>
            </w:pPr>
            <w:r>
              <w:t>Bit Position(s)</w:t>
            </w:r>
          </w:p>
        </w:tc>
        <w:tc>
          <w:tcPr>
            <w:tcW w:w="6480" w:type="dxa"/>
          </w:tcPr>
          <w:p w14:paraId="66120A25" w14:textId="77777777" w:rsidR="00031310" w:rsidRDefault="00EA4C4E">
            <w:pPr>
              <w:pStyle w:val="TableHeading"/>
            </w:pPr>
            <w:r>
              <w:t>Description</w:t>
            </w:r>
          </w:p>
        </w:tc>
      </w:tr>
      <w:tr w:rsidR="00031310" w14:paraId="1FAF524B" w14:textId="77777777">
        <w:tc>
          <w:tcPr>
            <w:tcW w:w="2880" w:type="dxa"/>
          </w:tcPr>
          <w:p w14:paraId="1A1906C2" w14:textId="77777777" w:rsidR="00031310" w:rsidRDefault="00EA4C4E">
            <w:pPr>
              <w:pStyle w:val="TableContents"/>
            </w:pPr>
            <w:r>
              <w:t>0-2: Algorithm path?</w:t>
            </w:r>
          </w:p>
        </w:tc>
        <w:tc>
          <w:tcPr>
            <w:tcW w:w="6480" w:type="dxa"/>
            <w:tcBorders>
              <w:left w:val="single" w:sz="2" w:space="0" w:color="000000"/>
            </w:tcBorders>
          </w:tcPr>
          <w:p w14:paraId="4D25014A" w14:textId="77777777" w:rsidR="00031310" w:rsidRDefault="00EA4C4E">
            <w:pPr>
              <w:pStyle w:val="TableContents"/>
            </w:pPr>
            <w:r>
              <w:t>000 = 0 Main (RT) algorithm used, best result possible</w:t>
            </w:r>
          </w:p>
        </w:tc>
      </w:tr>
      <w:tr w:rsidR="00031310" w14:paraId="6DFC6494" w14:textId="77777777">
        <w:tc>
          <w:tcPr>
            <w:tcW w:w="2880" w:type="dxa"/>
          </w:tcPr>
          <w:p w14:paraId="23F4DBFE" w14:textId="77777777" w:rsidR="00031310" w:rsidRDefault="00031310">
            <w:pPr>
              <w:pStyle w:val="TableContents"/>
            </w:pPr>
          </w:p>
        </w:tc>
        <w:tc>
          <w:tcPr>
            <w:tcW w:w="6480" w:type="dxa"/>
            <w:tcBorders>
              <w:left w:val="single" w:sz="2" w:space="0" w:color="000000"/>
            </w:tcBorders>
          </w:tcPr>
          <w:p w14:paraId="03A86376" w14:textId="77777777" w:rsidR="00031310" w:rsidRDefault="00EA4C4E">
            <w:pPr>
              <w:pStyle w:val="TableContents"/>
            </w:pPr>
            <w:r>
              <w:t>001 = 1 Main (ET) algorithm used, saturation occurred. Good, very usable.</w:t>
            </w:r>
          </w:p>
        </w:tc>
      </w:tr>
      <w:tr w:rsidR="00031310" w14:paraId="5426B8BC" w14:textId="77777777">
        <w:tc>
          <w:tcPr>
            <w:tcW w:w="2880" w:type="dxa"/>
          </w:tcPr>
          <w:p w14:paraId="06AB833F" w14:textId="77777777" w:rsidR="00031310" w:rsidRDefault="00031310">
            <w:pPr>
              <w:pStyle w:val="TableContents"/>
            </w:pPr>
          </w:p>
        </w:tc>
        <w:tc>
          <w:tcPr>
            <w:tcW w:w="6480" w:type="dxa"/>
            <w:tcBorders>
              <w:left w:val="single" w:sz="2" w:space="0" w:color="000000"/>
            </w:tcBorders>
          </w:tcPr>
          <w:p w14:paraId="7CD6B690" w14:textId="77777777" w:rsidR="00031310" w:rsidRDefault="00EA4C4E">
            <w:pPr>
              <w:pStyle w:val="TableContents"/>
            </w:pPr>
            <w:r>
              <w:t>010 = 2 Main algorithm failed due to bad geometry, empirical algorithm used</w:t>
            </w:r>
          </w:p>
        </w:tc>
      </w:tr>
      <w:tr w:rsidR="00031310" w14:paraId="777CACF0" w14:textId="77777777">
        <w:tc>
          <w:tcPr>
            <w:tcW w:w="2880" w:type="dxa"/>
          </w:tcPr>
          <w:p w14:paraId="6C89D90A" w14:textId="77777777" w:rsidR="00031310" w:rsidRDefault="00031310">
            <w:pPr>
              <w:pStyle w:val="TableContents"/>
            </w:pPr>
          </w:p>
        </w:tc>
        <w:tc>
          <w:tcPr>
            <w:tcW w:w="6480" w:type="dxa"/>
            <w:tcBorders>
              <w:left w:val="single" w:sz="2" w:space="0" w:color="000000"/>
            </w:tcBorders>
          </w:tcPr>
          <w:p w14:paraId="7F583F2D" w14:textId="77777777" w:rsidR="00031310" w:rsidRDefault="00EA4C4E">
            <w:pPr>
              <w:pStyle w:val="TableContents"/>
            </w:pPr>
            <w:r>
              <w:t>011 = 3 Main algorithm failed due to problems other than geometry, empirical algorithm used</w:t>
            </w:r>
          </w:p>
        </w:tc>
      </w:tr>
      <w:tr w:rsidR="00031310" w14:paraId="30A273F0" w14:textId="77777777">
        <w:tc>
          <w:tcPr>
            <w:tcW w:w="2880" w:type="dxa"/>
          </w:tcPr>
          <w:p w14:paraId="05035C51" w14:textId="77777777" w:rsidR="00031310" w:rsidRDefault="00031310">
            <w:pPr>
              <w:pStyle w:val="TableContents"/>
            </w:pPr>
          </w:p>
        </w:tc>
        <w:tc>
          <w:tcPr>
            <w:tcW w:w="6480" w:type="dxa"/>
            <w:tcBorders>
              <w:left w:val="single" w:sz="2" w:space="0" w:color="000000"/>
            </w:tcBorders>
          </w:tcPr>
          <w:p w14:paraId="6CF93CE8" w14:textId="77777777" w:rsidR="00031310" w:rsidRDefault="00EA4C4E">
            <w:pPr>
              <w:pStyle w:val="TableContents"/>
            </w:pPr>
            <w:r>
              <w:t>100 = 4 Pixel not produced at all, value couldn’t be retrieved (possible reasons: bad L1B data, unusable VNP09GA data, water pixel)</w:t>
            </w:r>
          </w:p>
        </w:tc>
      </w:tr>
      <w:tr w:rsidR="00031310" w14:paraId="2468648D" w14:textId="77777777">
        <w:tc>
          <w:tcPr>
            <w:tcW w:w="2880" w:type="dxa"/>
          </w:tcPr>
          <w:p w14:paraId="63468824" w14:textId="77777777" w:rsidR="00031310" w:rsidRDefault="00EA4C4E">
            <w:pPr>
              <w:pStyle w:val="TableContents"/>
            </w:pPr>
            <w:r>
              <w:t>‍3-3: Dead detector?</w:t>
            </w:r>
          </w:p>
        </w:tc>
        <w:tc>
          <w:tcPr>
            <w:tcW w:w="6480" w:type="dxa"/>
            <w:tcBorders>
              <w:left w:val="single" w:sz="2" w:space="0" w:color="000000"/>
            </w:tcBorders>
          </w:tcPr>
          <w:p w14:paraId="23E1B1A2" w14:textId="77777777" w:rsidR="00031310" w:rsidRDefault="00EA4C4E">
            <w:pPr>
              <w:pStyle w:val="TableContents"/>
            </w:pPr>
            <w:r>
              <w:t>0 = Both red and NIR detectors are fine</w:t>
            </w:r>
          </w:p>
        </w:tc>
      </w:tr>
      <w:tr w:rsidR="00031310" w14:paraId="446E6F52" w14:textId="77777777">
        <w:tc>
          <w:tcPr>
            <w:tcW w:w="2880" w:type="dxa"/>
          </w:tcPr>
          <w:p w14:paraId="53E640C0" w14:textId="77777777" w:rsidR="00031310" w:rsidRDefault="00EA4C4E">
            <w:pPr>
              <w:pStyle w:val="TableContents"/>
            </w:pPr>
            <w:r>
              <w:t>‍</w:t>
            </w:r>
          </w:p>
        </w:tc>
        <w:tc>
          <w:tcPr>
            <w:tcW w:w="6480" w:type="dxa"/>
            <w:tcBorders>
              <w:left w:val="single" w:sz="2" w:space="0" w:color="000000"/>
            </w:tcBorders>
          </w:tcPr>
          <w:p w14:paraId="434EE330" w14:textId="77777777" w:rsidR="00031310" w:rsidRDefault="00EA4C4E">
            <w:pPr>
              <w:pStyle w:val="TableContents"/>
            </w:pPr>
            <w:r>
              <w:t>1 = At least one band has dead detector</w:t>
            </w:r>
          </w:p>
        </w:tc>
      </w:tr>
      <w:tr w:rsidR="00031310" w14:paraId="7436FBAF" w14:textId="77777777">
        <w:tc>
          <w:tcPr>
            <w:tcW w:w="2880" w:type="dxa"/>
          </w:tcPr>
          <w:p w14:paraId="5BB1702F" w14:textId="77777777" w:rsidR="00031310" w:rsidRDefault="00EA4C4E">
            <w:pPr>
              <w:pStyle w:val="TableContents"/>
            </w:pPr>
            <w:r>
              <w:t>‍4-5: Cloud detection and confidence?</w:t>
            </w:r>
          </w:p>
        </w:tc>
        <w:tc>
          <w:tcPr>
            <w:tcW w:w="6480" w:type="dxa"/>
            <w:tcBorders>
              <w:left w:val="single" w:sz="2" w:space="0" w:color="000000"/>
            </w:tcBorders>
          </w:tcPr>
          <w:p w14:paraId="41299B48" w14:textId="77777777" w:rsidR="00031310" w:rsidRDefault="00EA4C4E">
            <w:pPr>
              <w:pStyle w:val="TableContents"/>
            </w:pPr>
            <w:r>
              <w:t>00 = 0 Confident clear</w:t>
            </w:r>
          </w:p>
        </w:tc>
      </w:tr>
      <w:tr w:rsidR="00031310" w14:paraId="43DE49EB" w14:textId="77777777">
        <w:tc>
          <w:tcPr>
            <w:tcW w:w="2880" w:type="dxa"/>
          </w:tcPr>
          <w:p w14:paraId="7C62634E" w14:textId="77777777" w:rsidR="00031310" w:rsidRDefault="00EA4C4E">
            <w:pPr>
              <w:pStyle w:val="TableContents"/>
            </w:pPr>
            <w:r>
              <w:t>‍</w:t>
            </w:r>
          </w:p>
        </w:tc>
        <w:tc>
          <w:tcPr>
            <w:tcW w:w="6480" w:type="dxa"/>
            <w:tcBorders>
              <w:left w:val="single" w:sz="2" w:space="0" w:color="000000"/>
            </w:tcBorders>
          </w:tcPr>
          <w:p w14:paraId="6588958E" w14:textId="77777777" w:rsidR="00031310" w:rsidRDefault="00EA4C4E">
            <w:pPr>
              <w:pStyle w:val="TableContents"/>
            </w:pPr>
            <w:r>
              <w:t>01 = 1 Probably clear</w:t>
            </w:r>
          </w:p>
        </w:tc>
      </w:tr>
      <w:tr w:rsidR="00031310" w14:paraId="73100401" w14:textId="77777777">
        <w:tc>
          <w:tcPr>
            <w:tcW w:w="2880" w:type="dxa"/>
          </w:tcPr>
          <w:p w14:paraId="41C69456" w14:textId="77777777" w:rsidR="00031310" w:rsidRDefault="00EA4C4E">
            <w:pPr>
              <w:pStyle w:val="TableContents"/>
            </w:pPr>
            <w:r>
              <w:t>‍</w:t>
            </w:r>
          </w:p>
        </w:tc>
        <w:tc>
          <w:tcPr>
            <w:tcW w:w="6480" w:type="dxa"/>
            <w:tcBorders>
              <w:left w:val="single" w:sz="2" w:space="0" w:color="000000"/>
            </w:tcBorders>
          </w:tcPr>
          <w:p w14:paraId="7A358A85" w14:textId="77777777" w:rsidR="00031310" w:rsidRDefault="00EA4C4E">
            <w:pPr>
              <w:pStyle w:val="TableContents"/>
            </w:pPr>
            <w:r>
              <w:t xml:space="preserve">10 = 2 </w:t>
            </w:r>
            <w:proofErr w:type="spellStart"/>
            <w:r>
              <w:t>Problably</w:t>
            </w:r>
            <w:proofErr w:type="spellEnd"/>
            <w:r>
              <w:t xml:space="preserve"> cloudy</w:t>
            </w:r>
          </w:p>
        </w:tc>
      </w:tr>
      <w:tr w:rsidR="00031310" w14:paraId="553F0435" w14:textId="77777777">
        <w:tc>
          <w:tcPr>
            <w:tcW w:w="2880" w:type="dxa"/>
          </w:tcPr>
          <w:p w14:paraId="48768596" w14:textId="77777777" w:rsidR="00031310" w:rsidRDefault="00EA4C4E">
            <w:pPr>
              <w:pStyle w:val="TableContents"/>
            </w:pPr>
            <w:r>
              <w:t>‍</w:t>
            </w:r>
          </w:p>
        </w:tc>
        <w:tc>
          <w:tcPr>
            <w:tcW w:w="6480" w:type="dxa"/>
            <w:tcBorders>
              <w:left w:val="single" w:sz="2" w:space="0" w:color="000000"/>
            </w:tcBorders>
          </w:tcPr>
          <w:p w14:paraId="05EFA2A3" w14:textId="77777777" w:rsidR="00031310" w:rsidRDefault="00EA4C4E">
            <w:pPr>
              <w:pStyle w:val="TableContents"/>
            </w:pPr>
            <w:r>
              <w:t>11 = 3 Confident cloudy</w:t>
            </w:r>
          </w:p>
        </w:tc>
      </w:tr>
      <w:tr w:rsidR="00031310" w14:paraId="430132CF" w14:textId="77777777">
        <w:tc>
          <w:tcPr>
            <w:tcW w:w="2880" w:type="dxa"/>
          </w:tcPr>
          <w:p w14:paraId="6D91398C" w14:textId="77777777" w:rsidR="00031310" w:rsidRDefault="00EA4C4E">
            <w:pPr>
              <w:pStyle w:val="TableContents"/>
            </w:pPr>
            <w:r>
              <w:t>‍6-6: Cloud shadow?</w:t>
            </w:r>
          </w:p>
        </w:tc>
        <w:tc>
          <w:tcPr>
            <w:tcW w:w="6480" w:type="dxa"/>
            <w:tcBorders>
              <w:left w:val="single" w:sz="2" w:space="0" w:color="000000"/>
            </w:tcBorders>
          </w:tcPr>
          <w:p w14:paraId="775996F5" w14:textId="77777777" w:rsidR="00031310" w:rsidRDefault="00EA4C4E">
            <w:pPr>
              <w:pStyle w:val="TableContents"/>
            </w:pPr>
            <w:r>
              <w:t>0 = 0 No cloud shadow</w:t>
            </w:r>
          </w:p>
        </w:tc>
      </w:tr>
      <w:tr w:rsidR="00031310" w14:paraId="72301109" w14:textId="77777777">
        <w:tc>
          <w:tcPr>
            <w:tcW w:w="2880" w:type="dxa"/>
          </w:tcPr>
          <w:p w14:paraId="20070824" w14:textId="77777777" w:rsidR="00031310" w:rsidRDefault="00EA4C4E">
            <w:pPr>
              <w:pStyle w:val="TableContents"/>
            </w:pPr>
            <w:r>
              <w:t>‍</w:t>
            </w:r>
          </w:p>
        </w:tc>
        <w:tc>
          <w:tcPr>
            <w:tcW w:w="6480" w:type="dxa"/>
            <w:tcBorders>
              <w:left w:val="single" w:sz="2" w:space="0" w:color="000000"/>
            </w:tcBorders>
          </w:tcPr>
          <w:p w14:paraId="48D017DB" w14:textId="77777777" w:rsidR="00031310" w:rsidRDefault="00EA4C4E">
            <w:pPr>
              <w:pStyle w:val="TableContents"/>
            </w:pPr>
            <w:r>
              <w:t>1 = 1 Shadow</w:t>
            </w:r>
          </w:p>
        </w:tc>
      </w:tr>
      <w:tr w:rsidR="00031310" w14:paraId="78838862" w14:textId="77777777">
        <w:tc>
          <w:tcPr>
            <w:tcW w:w="2880" w:type="dxa"/>
          </w:tcPr>
          <w:p w14:paraId="390A765D" w14:textId="77777777" w:rsidR="00031310" w:rsidRDefault="00EA4C4E">
            <w:pPr>
              <w:pStyle w:val="TableContents"/>
            </w:pPr>
            <w:r>
              <w:t>‍7-7 Thin cirrus?</w:t>
            </w:r>
          </w:p>
        </w:tc>
        <w:tc>
          <w:tcPr>
            <w:tcW w:w="6480" w:type="dxa"/>
            <w:tcBorders>
              <w:left w:val="single" w:sz="2" w:space="0" w:color="000000"/>
            </w:tcBorders>
          </w:tcPr>
          <w:p w14:paraId="616B9D6F" w14:textId="77777777" w:rsidR="00031310" w:rsidRDefault="00EA4C4E">
            <w:pPr>
              <w:pStyle w:val="TableContents"/>
            </w:pPr>
            <w:r>
              <w:t>0 = 0 No thin cirrus</w:t>
            </w:r>
          </w:p>
        </w:tc>
      </w:tr>
      <w:tr w:rsidR="00031310" w14:paraId="3839FE03" w14:textId="77777777">
        <w:tc>
          <w:tcPr>
            <w:tcW w:w="2880" w:type="dxa"/>
          </w:tcPr>
          <w:p w14:paraId="6914085E" w14:textId="77777777" w:rsidR="00031310" w:rsidRDefault="00EA4C4E">
            <w:pPr>
              <w:pStyle w:val="TableContents"/>
            </w:pPr>
            <w:r>
              <w:t>‍</w:t>
            </w:r>
          </w:p>
        </w:tc>
        <w:tc>
          <w:tcPr>
            <w:tcW w:w="6480" w:type="dxa"/>
            <w:tcBorders>
              <w:left w:val="single" w:sz="2" w:space="0" w:color="000000"/>
            </w:tcBorders>
          </w:tcPr>
          <w:p w14:paraId="4091E639" w14:textId="77777777" w:rsidR="00031310" w:rsidRDefault="00EA4C4E">
            <w:pPr>
              <w:pStyle w:val="TableContents"/>
            </w:pPr>
            <w:r>
              <w:t>1 = 1 Thin cirrus</w:t>
            </w:r>
          </w:p>
        </w:tc>
      </w:tr>
    </w:tbl>
    <w:p w14:paraId="23D282BF" w14:textId="77777777" w:rsidR="00031310" w:rsidRDefault="000313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p>
    <w:p w14:paraId="5DEEA211" w14:textId="77777777" w:rsidR="00031310" w:rsidRDefault="00EA4C4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0"/>
        <w:jc w:val="both"/>
        <w:rPr>
          <w:rFonts w:eastAsia="MS Mincho"/>
          <w:bCs/>
        </w:rPr>
      </w:pPr>
      <w:r>
        <w:rPr>
          <w:rFonts w:eastAsia="MS Mincho"/>
          <w:bCs/>
        </w:rPr>
        <w:t>The above “Main (RT) algorithm” or “empirical algorithm” refers to the algorithm of VIIRS FPAR/LAI data products, VNP15A2H and VJ115A2H), not the algorithm of ET/PET.</w:t>
      </w:r>
    </w:p>
    <w:p w14:paraId="05DA5E74" w14:textId="3D593CE4" w:rsidR="00031310" w:rsidRDefault="00EA4C4E" w:rsidP="001D4916">
      <w:pPr>
        <w:widowControl w:val="0"/>
        <w:tabs>
          <w:tab w:val="left" w:pos="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120"/>
        <w:ind w:left="0" w:firstLine="432"/>
        <w:jc w:val="both"/>
        <w:rPr>
          <w:rFonts w:eastAsia="MS Mincho"/>
          <w:bCs/>
        </w:rPr>
      </w:pPr>
      <w:r>
        <w:rPr>
          <w:rFonts w:eastAsia="MS Mincho"/>
          <w:bCs/>
        </w:rPr>
        <w:t xml:space="preserve">For C2, NASA’s forward VNP16A2 and gap-filled VNP16A2GF, the ET_QC_500m information can provide users the quality of the original VIIRS 8-day FPAR/LAI data, input to VNP16A2[GF]. Compared to the very early stage of MOD16 data products, the usefulness of ET_QC_500m has been greatly reduced in that the original </w:t>
      </w:r>
      <w:proofErr w:type="spellStart"/>
      <w:r>
        <w:rPr>
          <w:rFonts w:eastAsia="MS Mincho"/>
          <w:bCs/>
        </w:rPr>
        <w:t>fPAR</w:t>
      </w:r>
      <w:proofErr w:type="spellEnd"/>
      <w:r>
        <w:rPr>
          <w:rFonts w:eastAsia="MS Mincho"/>
          <w:bCs/>
        </w:rPr>
        <w:t xml:space="preserve">/LAI values labeled with poor quality (mostly due to cloud contamination) have been replaced either by climatology </w:t>
      </w:r>
      <w:proofErr w:type="spellStart"/>
      <w:r>
        <w:rPr>
          <w:rFonts w:eastAsia="MS Mincho"/>
          <w:bCs/>
        </w:rPr>
        <w:t>fPAR</w:t>
      </w:r>
      <w:proofErr w:type="spellEnd"/>
      <w:r>
        <w:rPr>
          <w:rFonts w:eastAsia="MS Mincho"/>
          <w:bCs/>
        </w:rPr>
        <w:t>/LAI in the forward VNP16A2 pro</w:t>
      </w:r>
      <w:r w:rsidR="00C82B1C">
        <w:rPr>
          <w:rFonts w:eastAsia="MS Mincho"/>
          <w:bCs/>
        </w:rPr>
        <w:t>duction</w:t>
      </w:r>
      <w:r>
        <w:rPr>
          <w:rFonts w:eastAsia="MS Mincho"/>
          <w:bCs/>
        </w:rPr>
        <w:t xml:space="preserve"> or by gap-filled </w:t>
      </w:r>
      <w:proofErr w:type="spellStart"/>
      <w:r>
        <w:rPr>
          <w:rFonts w:eastAsia="MS Mincho"/>
          <w:bCs/>
        </w:rPr>
        <w:t>fPAR</w:t>
      </w:r>
      <w:proofErr w:type="spellEnd"/>
      <w:r>
        <w:rPr>
          <w:rFonts w:eastAsia="MS Mincho"/>
          <w:bCs/>
        </w:rPr>
        <w:t>/LAI in the year-end gap-filled VNP16A2GF pro</w:t>
      </w:r>
      <w:r w:rsidR="00C82B1C">
        <w:rPr>
          <w:rFonts w:eastAsia="MS Mincho"/>
          <w:bCs/>
        </w:rPr>
        <w:t>duction</w:t>
      </w:r>
      <w:r>
        <w:rPr>
          <w:rFonts w:eastAsia="MS Mincho"/>
          <w:bCs/>
        </w:rPr>
        <w:t xml:space="preserve">, as detailed in the section 4.4 above. </w:t>
      </w:r>
    </w:p>
    <w:p w14:paraId="4252D5B2" w14:textId="2F7D002F" w:rsidR="00031310" w:rsidRDefault="00EA4C4E" w:rsidP="00B825B3">
      <w:pPr>
        <w:pStyle w:val="Heading3"/>
        <w:jc w:val="both"/>
      </w:pPr>
      <w:bookmarkStart w:id="81" w:name="_Toc181041702"/>
      <w:r>
        <w:t xml:space="preserve">5.3.2 </w:t>
      </w:r>
      <w:bookmarkStart w:id="82" w:name="annual-vnp16a3gfvj116a3gf"/>
      <w:r>
        <w:t>Annual VNP16A3GF/VJ116A3GF</w:t>
      </w:r>
      <w:bookmarkEnd w:id="81"/>
      <w:bookmarkEnd w:id="82"/>
    </w:p>
    <w:p w14:paraId="7DE617CC" w14:textId="7658D836" w:rsidR="00031310" w:rsidRDefault="00EA4C4E" w:rsidP="00B825B3">
      <w:pPr>
        <w:ind w:left="0"/>
        <w:jc w:val="both"/>
      </w:pPr>
      <w:r>
        <w:t xml:space="preserve">Table </w:t>
      </w:r>
      <w:r w:rsidR="001D4916">
        <w:t>5</w:t>
      </w:r>
      <w:r w:rsidR="00B825B3">
        <w:t>.3</w:t>
      </w:r>
      <w:r>
        <w:t xml:space="preserve"> lists </w:t>
      </w:r>
      <w:r w:rsidR="00C82B1C">
        <w:t>the</w:t>
      </w:r>
      <w:r>
        <w:t xml:space="preserve"> annual VNP16A3 (or VNP16A3GF)</w:t>
      </w:r>
      <w:r w:rsidR="00C82B1C">
        <w:t xml:space="preserve"> datasets</w:t>
      </w:r>
      <w:r>
        <w:t>. ET_500m and PET_500m are the summation of total daily ET/PET through the year whereas LE and PLE are the corresponding average total latent energy over a unit area for a unit day through the year. LE_500m and PLE_500m have the same data type (signed 2-byte short int16), valid range, and fill values as those listed above for the 8-day VNP16A2; whereas annual ET_500m and PET_500m are saved in unsigned 2-byte short integer (uint16)</w:t>
      </w:r>
      <w:r w:rsidR="00AA33C9">
        <w:t xml:space="preserve"> format</w:t>
      </w:r>
      <w:r>
        <w:t xml:space="preserve"> with valid range from 0 to 655</w:t>
      </w:r>
      <w:r w:rsidR="00B825B3">
        <w:t>00</w:t>
      </w:r>
      <w:r>
        <w:t xml:space="preserve">. </w:t>
      </w:r>
    </w:p>
    <w:p w14:paraId="7F2BDE79" w14:textId="743798D0" w:rsidR="00031310" w:rsidRDefault="00EA4C4E" w:rsidP="00B825B3">
      <w:pPr>
        <w:spacing w:before="120"/>
        <w:ind w:left="0" w:firstLine="432"/>
        <w:jc w:val="both"/>
      </w:pPr>
      <w:r>
        <w:t xml:space="preserve">Similar to VNP16A2 (or VNP16A2GF), as listed in Table </w:t>
      </w:r>
      <w:r w:rsidR="00B825B3">
        <w:t>5</w:t>
      </w:r>
      <w:r>
        <w:t>.2, for valid data (</w:t>
      </w:r>
      <w:proofErr w:type="spellStart"/>
      <w:r>
        <w:t>Valid_data</w:t>
      </w:r>
      <w:proofErr w:type="spellEnd"/>
      <w:r>
        <w:t xml:space="preserve"> with</w:t>
      </w:r>
      <w:r w:rsidR="00AA33C9">
        <w:t>in</w:t>
      </w:r>
      <w:r>
        <w:t xml:space="preserve"> the valid range) of VNP16A3 (or MOD16A3GF), the real value (</w:t>
      </w:r>
      <w:proofErr w:type="spellStart"/>
      <w:r>
        <w:t>Real_value</w:t>
      </w:r>
      <w:proofErr w:type="spellEnd"/>
      <w:r>
        <w:t>) of each data set (ET, LE, PET or PLE) in the corresponding units (kg m</w:t>
      </w:r>
      <w:r>
        <w:rPr>
          <w:vertAlign w:val="superscript"/>
        </w:rPr>
        <w:t>-2</w:t>
      </w:r>
      <w:r>
        <w:t xml:space="preserve"> yr</w:t>
      </w:r>
      <w:r>
        <w:rPr>
          <w:vertAlign w:val="superscript"/>
        </w:rPr>
        <w:t>-1</w:t>
      </w:r>
      <w:r>
        <w:t xml:space="preserve"> or MJ m</w:t>
      </w:r>
      <w:r>
        <w:rPr>
          <w:vertAlign w:val="superscript"/>
        </w:rPr>
        <w:t>-2</w:t>
      </w:r>
      <w:r>
        <w:t xml:space="preserve"> d</w:t>
      </w:r>
      <w:r>
        <w:rPr>
          <w:vertAlign w:val="superscript"/>
        </w:rPr>
        <w:t>-1</w:t>
      </w:r>
      <w:r>
        <w:t xml:space="preserve">) can be calculated using Equation </w:t>
      </w:r>
      <w:r w:rsidR="00B825B3">
        <w:t>5.</w:t>
      </w:r>
      <w:r>
        <w:t>1 (above).</w:t>
      </w:r>
    </w:p>
    <w:p w14:paraId="5102C16A" w14:textId="77777777" w:rsidR="00031310" w:rsidRDefault="00031310">
      <w:pPr>
        <w:ind w:left="0"/>
      </w:pPr>
    </w:p>
    <w:p w14:paraId="71C2EA47" w14:textId="7E88993C" w:rsidR="00031310" w:rsidRDefault="00EA4C4E">
      <w:pPr>
        <w:pStyle w:val="TableCaption"/>
      </w:pPr>
      <w:r>
        <w:t xml:space="preserve">Table </w:t>
      </w:r>
      <w:r w:rsidR="001D4916">
        <w:t>5</w:t>
      </w:r>
      <w:r w:rsidR="00B825B3">
        <w:t>.3</w:t>
      </w:r>
      <w:r>
        <w:t>: Detailed information on science datasets in VNP16A3 and VNP16A3GF.</w:t>
      </w:r>
    </w:p>
    <w:tbl>
      <w:tblPr>
        <w:tblW w:w="9630" w:type="dxa"/>
        <w:tblInd w:w="113" w:type="dxa"/>
        <w:tblLayout w:type="fixed"/>
        <w:tblLook w:val="04A0" w:firstRow="1" w:lastRow="0" w:firstColumn="1" w:lastColumn="0" w:noHBand="0" w:noVBand="1"/>
      </w:tblPr>
      <w:tblGrid>
        <w:gridCol w:w="1709"/>
        <w:gridCol w:w="2160"/>
        <w:gridCol w:w="1440"/>
        <w:gridCol w:w="1260"/>
        <w:gridCol w:w="1530"/>
        <w:gridCol w:w="1531"/>
      </w:tblGrid>
      <w:tr w:rsidR="00031310" w14:paraId="04CA7980" w14:textId="77777777">
        <w:tc>
          <w:tcPr>
            <w:tcW w:w="1709" w:type="dxa"/>
          </w:tcPr>
          <w:p w14:paraId="5DA29FC6" w14:textId="77777777" w:rsidR="00031310" w:rsidRDefault="00EA4C4E">
            <w:pPr>
              <w:pStyle w:val="PlainText"/>
              <w:widowControl w:val="0"/>
              <w:ind w:left="0"/>
              <w:jc w:val="both"/>
              <w:rPr>
                <w:b/>
                <w:bCs/>
              </w:rPr>
            </w:pPr>
            <w:r>
              <w:rPr>
                <w:rFonts w:ascii="Times New Roman" w:eastAsia="MS Mincho" w:hAnsi="Times New Roman" w:cs="Times New Roman"/>
                <w:b/>
                <w:bCs/>
                <w:sz w:val="24"/>
                <w:szCs w:val="24"/>
              </w:rPr>
              <w:t>Data Sets</w:t>
            </w:r>
          </w:p>
        </w:tc>
        <w:tc>
          <w:tcPr>
            <w:tcW w:w="2160" w:type="dxa"/>
          </w:tcPr>
          <w:p w14:paraId="42D8640B" w14:textId="77777777" w:rsidR="00031310" w:rsidRDefault="00EA4C4E">
            <w:pPr>
              <w:pStyle w:val="PlainText"/>
              <w:widowControl w:val="0"/>
              <w:ind w:left="0"/>
              <w:jc w:val="both"/>
              <w:rPr>
                <w:b/>
                <w:bCs/>
              </w:rPr>
            </w:pPr>
            <w:r>
              <w:rPr>
                <w:rFonts w:ascii="Times New Roman" w:eastAsia="MS Mincho" w:hAnsi="Times New Roman" w:cs="Times New Roman"/>
                <w:b/>
                <w:bCs/>
                <w:sz w:val="24"/>
                <w:szCs w:val="24"/>
              </w:rPr>
              <w:t>Meaning</w:t>
            </w:r>
          </w:p>
        </w:tc>
        <w:tc>
          <w:tcPr>
            <w:tcW w:w="1440" w:type="dxa"/>
          </w:tcPr>
          <w:p w14:paraId="0282D02B" w14:textId="77777777" w:rsidR="00031310" w:rsidRDefault="00EA4C4E">
            <w:pPr>
              <w:pStyle w:val="PlainText"/>
              <w:widowControl w:val="0"/>
              <w:ind w:left="0"/>
              <w:jc w:val="both"/>
              <w:rPr>
                <w:b/>
                <w:bCs/>
              </w:rPr>
            </w:pPr>
            <w:r>
              <w:rPr>
                <w:rFonts w:ascii="Times New Roman" w:eastAsia="MS Mincho" w:hAnsi="Times New Roman" w:cs="Times New Roman"/>
                <w:b/>
                <w:bCs/>
                <w:sz w:val="24"/>
                <w:szCs w:val="24"/>
              </w:rPr>
              <w:t>Units</w:t>
            </w:r>
          </w:p>
        </w:tc>
        <w:tc>
          <w:tcPr>
            <w:tcW w:w="1260" w:type="dxa"/>
          </w:tcPr>
          <w:p w14:paraId="6F78B0C0" w14:textId="596B8669" w:rsidR="00031310" w:rsidRDefault="00EA4C4E">
            <w:pPr>
              <w:pStyle w:val="PlainText"/>
              <w:widowControl w:val="0"/>
              <w:ind w:left="0"/>
              <w:jc w:val="both"/>
              <w:rPr>
                <w:b/>
                <w:bCs/>
              </w:rPr>
            </w:pPr>
            <w:r>
              <w:rPr>
                <w:rFonts w:ascii="Times New Roman" w:eastAsia="MS Mincho" w:hAnsi="Times New Roman" w:cs="Times New Roman"/>
                <w:b/>
                <w:bCs/>
                <w:sz w:val="24"/>
                <w:szCs w:val="24"/>
              </w:rPr>
              <w:t>Dat</w:t>
            </w:r>
            <w:r w:rsidR="001138D4">
              <w:rPr>
                <w:rFonts w:ascii="Times New Roman" w:eastAsia="MS Mincho" w:hAnsi="Times New Roman" w:cs="Times New Roman"/>
                <w:b/>
                <w:bCs/>
                <w:sz w:val="24"/>
                <w:szCs w:val="24"/>
              </w:rPr>
              <w:t>a</w:t>
            </w:r>
            <w:r>
              <w:rPr>
                <w:rFonts w:ascii="Times New Roman" w:eastAsia="MS Mincho" w:hAnsi="Times New Roman" w:cs="Times New Roman"/>
                <w:b/>
                <w:bCs/>
                <w:sz w:val="24"/>
                <w:szCs w:val="24"/>
              </w:rPr>
              <w:t xml:space="preserve"> Type</w:t>
            </w:r>
          </w:p>
        </w:tc>
        <w:tc>
          <w:tcPr>
            <w:tcW w:w="1530" w:type="dxa"/>
          </w:tcPr>
          <w:p w14:paraId="04219943" w14:textId="77777777" w:rsidR="00031310" w:rsidRDefault="00EA4C4E">
            <w:pPr>
              <w:pStyle w:val="PlainText"/>
              <w:widowControl w:val="0"/>
              <w:ind w:left="0"/>
              <w:jc w:val="both"/>
              <w:rPr>
                <w:b/>
                <w:bCs/>
              </w:rPr>
            </w:pPr>
            <w:r>
              <w:rPr>
                <w:rFonts w:ascii="Times New Roman" w:eastAsia="MS Mincho" w:hAnsi="Times New Roman" w:cs="Times New Roman"/>
                <w:b/>
                <w:bCs/>
                <w:sz w:val="24"/>
                <w:szCs w:val="24"/>
              </w:rPr>
              <w:t>Valid Range</w:t>
            </w:r>
          </w:p>
        </w:tc>
        <w:tc>
          <w:tcPr>
            <w:tcW w:w="1531" w:type="dxa"/>
          </w:tcPr>
          <w:p w14:paraId="18014BED" w14:textId="77777777" w:rsidR="00031310" w:rsidRDefault="00EA4C4E">
            <w:pPr>
              <w:pStyle w:val="PlainText"/>
              <w:widowControl w:val="0"/>
              <w:ind w:left="0"/>
              <w:jc w:val="both"/>
              <w:rPr>
                <w:b/>
                <w:bCs/>
              </w:rPr>
            </w:pPr>
            <w:r>
              <w:rPr>
                <w:rFonts w:ascii="Times New Roman" w:eastAsia="MS Mincho" w:hAnsi="Times New Roman" w:cs="Times New Roman"/>
                <w:b/>
                <w:bCs/>
                <w:sz w:val="24"/>
                <w:szCs w:val="24"/>
              </w:rPr>
              <w:t>Scale  Factor</w:t>
            </w:r>
          </w:p>
        </w:tc>
      </w:tr>
      <w:tr w:rsidR="00031310" w14:paraId="7D069C76" w14:textId="77777777">
        <w:tc>
          <w:tcPr>
            <w:tcW w:w="1709" w:type="dxa"/>
          </w:tcPr>
          <w:p w14:paraId="66A3D207" w14:textId="77777777" w:rsidR="00031310" w:rsidRDefault="00EA4C4E">
            <w:pPr>
              <w:pStyle w:val="PlainText"/>
              <w:widowControl w:val="0"/>
              <w:ind w:left="0"/>
              <w:jc w:val="both"/>
            </w:pPr>
            <w:r>
              <w:rPr>
                <w:rFonts w:ascii="Times New Roman" w:eastAsia="MS Mincho" w:hAnsi="Times New Roman" w:cs="Times New Roman"/>
                <w:sz w:val="24"/>
                <w:szCs w:val="24"/>
              </w:rPr>
              <w:t>ET_500m</w:t>
            </w:r>
          </w:p>
        </w:tc>
        <w:tc>
          <w:tcPr>
            <w:tcW w:w="2160" w:type="dxa"/>
          </w:tcPr>
          <w:p w14:paraId="35BD4F07" w14:textId="77777777" w:rsidR="00031310" w:rsidRDefault="00EA4C4E">
            <w:pPr>
              <w:pStyle w:val="PlainText"/>
              <w:widowControl w:val="0"/>
              <w:ind w:left="0"/>
              <w:jc w:val="both"/>
            </w:pPr>
            <w:r>
              <w:rPr>
                <w:rFonts w:ascii="Times New Roman" w:eastAsia="MS Mincho" w:hAnsi="Times New Roman" w:cs="Times New Roman"/>
                <w:sz w:val="24"/>
                <w:szCs w:val="24"/>
              </w:rPr>
              <w:t>annual sum ET</w:t>
            </w:r>
          </w:p>
        </w:tc>
        <w:tc>
          <w:tcPr>
            <w:tcW w:w="1440" w:type="dxa"/>
          </w:tcPr>
          <w:p w14:paraId="3A8D9C61" w14:textId="77777777" w:rsidR="00031310" w:rsidRDefault="00EA4C4E">
            <w:pPr>
              <w:pStyle w:val="PlainText"/>
              <w:widowControl w:val="0"/>
              <w:ind w:left="0"/>
              <w:jc w:val="both"/>
            </w:pPr>
            <w:r>
              <w:rPr>
                <w:rFonts w:ascii="Times New Roman" w:eastAsia="MS Mincho" w:hAnsi="Times New Roman" w:cs="Times New Roman"/>
                <w:sz w:val="24"/>
                <w:szCs w:val="24"/>
              </w:rPr>
              <w:t>kg/m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w:t>
            </w:r>
            <w:proofErr w:type="spellStart"/>
            <w:r>
              <w:rPr>
                <w:rFonts w:ascii="Times New Roman" w:eastAsia="MS Mincho" w:hAnsi="Times New Roman" w:cs="Times New Roman"/>
                <w:sz w:val="24"/>
                <w:szCs w:val="24"/>
              </w:rPr>
              <w:t>yr</w:t>
            </w:r>
            <w:proofErr w:type="spellEnd"/>
          </w:p>
        </w:tc>
        <w:tc>
          <w:tcPr>
            <w:tcW w:w="1260" w:type="dxa"/>
          </w:tcPr>
          <w:p w14:paraId="65B51119" w14:textId="77777777" w:rsidR="00031310" w:rsidRDefault="00EA4C4E">
            <w:pPr>
              <w:pStyle w:val="PlainText"/>
              <w:widowControl w:val="0"/>
              <w:ind w:left="0"/>
              <w:jc w:val="both"/>
            </w:pPr>
            <w:r>
              <w:rPr>
                <w:rFonts w:ascii="Times New Roman" w:eastAsia="MS Mincho" w:hAnsi="Times New Roman" w:cs="Times New Roman"/>
                <w:sz w:val="24"/>
                <w:szCs w:val="24"/>
              </w:rPr>
              <w:t>uint16</w:t>
            </w:r>
          </w:p>
        </w:tc>
        <w:tc>
          <w:tcPr>
            <w:tcW w:w="1530" w:type="dxa"/>
          </w:tcPr>
          <w:p w14:paraId="6E5DE071" w14:textId="77777777" w:rsidR="00031310" w:rsidRDefault="00EA4C4E">
            <w:pPr>
              <w:pStyle w:val="PlainText"/>
              <w:widowControl w:val="0"/>
              <w:ind w:left="0"/>
              <w:jc w:val="both"/>
            </w:pPr>
            <w:r>
              <w:rPr>
                <w:rFonts w:ascii="Times New Roman" w:eastAsia="MS Mincho" w:hAnsi="Times New Roman" w:cs="Times New Roman"/>
                <w:sz w:val="24"/>
                <w:szCs w:val="24"/>
              </w:rPr>
              <w:t>0 ~ 65500</w:t>
            </w:r>
          </w:p>
        </w:tc>
        <w:tc>
          <w:tcPr>
            <w:tcW w:w="1531" w:type="dxa"/>
          </w:tcPr>
          <w:p w14:paraId="227852A1" w14:textId="77777777" w:rsidR="00031310" w:rsidRDefault="00EA4C4E">
            <w:pPr>
              <w:pStyle w:val="PlainText"/>
              <w:widowControl w:val="0"/>
              <w:ind w:left="0"/>
              <w:jc w:val="both"/>
            </w:pPr>
            <w:r>
              <w:rPr>
                <w:rFonts w:ascii="Times New Roman" w:eastAsia="MS Mincho" w:hAnsi="Times New Roman" w:cs="Times New Roman"/>
                <w:sz w:val="24"/>
                <w:szCs w:val="24"/>
              </w:rPr>
              <w:t>0.1</w:t>
            </w:r>
          </w:p>
        </w:tc>
      </w:tr>
      <w:tr w:rsidR="00031310" w14:paraId="4A64475C" w14:textId="77777777">
        <w:tc>
          <w:tcPr>
            <w:tcW w:w="1709" w:type="dxa"/>
          </w:tcPr>
          <w:p w14:paraId="01AD60FE" w14:textId="77777777" w:rsidR="00031310" w:rsidRDefault="00EA4C4E">
            <w:pPr>
              <w:pStyle w:val="PlainText"/>
              <w:widowControl w:val="0"/>
              <w:ind w:left="0"/>
              <w:jc w:val="both"/>
            </w:pPr>
            <w:r>
              <w:rPr>
                <w:rFonts w:ascii="Times New Roman" w:eastAsia="MS Mincho" w:hAnsi="Times New Roman" w:cs="Times New Roman"/>
                <w:sz w:val="24"/>
                <w:szCs w:val="24"/>
              </w:rPr>
              <w:t>LE_500m</w:t>
            </w:r>
          </w:p>
        </w:tc>
        <w:tc>
          <w:tcPr>
            <w:tcW w:w="2160" w:type="dxa"/>
          </w:tcPr>
          <w:p w14:paraId="736EA924" w14:textId="77777777" w:rsidR="00031310" w:rsidRDefault="00EA4C4E">
            <w:pPr>
              <w:pStyle w:val="PlainText"/>
              <w:widowControl w:val="0"/>
              <w:ind w:left="0"/>
              <w:jc w:val="both"/>
            </w:pPr>
            <w:r>
              <w:rPr>
                <w:rFonts w:ascii="Times New Roman" w:eastAsia="MS Mincho" w:hAnsi="Times New Roman" w:cs="Times New Roman"/>
                <w:sz w:val="24"/>
                <w:szCs w:val="24"/>
              </w:rPr>
              <w:t>annual average LE</w:t>
            </w:r>
          </w:p>
        </w:tc>
        <w:tc>
          <w:tcPr>
            <w:tcW w:w="1440" w:type="dxa"/>
          </w:tcPr>
          <w:p w14:paraId="775BC51C" w14:textId="77777777" w:rsidR="00031310" w:rsidRDefault="00EA4C4E">
            <w:pPr>
              <w:pStyle w:val="PlainText"/>
              <w:widowControl w:val="0"/>
              <w:ind w:left="0"/>
              <w:jc w:val="both"/>
            </w:pPr>
            <w:r>
              <w:rPr>
                <w:rFonts w:ascii="Times New Roman" w:eastAsia="MS Mincho" w:hAnsi="Times New Roman" w:cs="Times New Roman"/>
                <w:sz w:val="24"/>
                <w:szCs w:val="24"/>
              </w:rPr>
              <w:t>MJ/m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/d</w:t>
            </w:r>
          </w:p>
        </w:tc>
        <w:tc>
          <w:tcPr>
            <w:tcW w:w="1260" w:type="dxa"/>
          </w:tcPr>
          <w:p w14:paraId="16A5BDD5" w14:textId="77777777" w:rsidR="00031310" w:rsidRDefault="00EA4C4E">
            <w:pPr>
              <w:pStyle w:val="PlainText"/>
              <w:widowControl w:val="0"/>
              <w:ind w:left="0"/>
              <w:jc w:val="both"/>
            </w:pPr>
            <w:r>
              <w:rPr>
                <w:rFonts w:ascii="Times New Roman" w:eastAsia="MS Mincho" w:hAnsi="Times New Roman" w:cs="Times New Roman"/>
                <w:sz w:val="24"/>
                <w:szCs w:val="24"/>
              </w:rPr>
              <w:t>int16</w:t>
            </w:r>
          </w:p>
        </w:tc>
        <w:tc>
          <w:tcPr>
            <w:tcW w:w="1530" w:type="dxa"/>
          </w:tcPr>
          <w:p w14:paraId="6F705530" w14:textId="77777777" w:rsidR="00031310" w:rsidRDefault="00EA4C4E">
            <w:pPr>
              <w:pStyle w:val="PlainText"/>
              <w:widowControl w:val="0"/>
              <w:ind w:left="0"/>
              <w:jc w:val="both"/>
            </w:pPr>
            <w:r>
              <w:rPr>
                <w:rFonts w:ascii="Times New Roman" w:eastAsia="MS Mincho" w:hAnsi="Times New Roman" w:cs="Times New Roman"/>
                <w:sz w:val="24"/>
                <w:szCs w:val="24"/>
              </w:rPr>
              <w:t>0 ~ 32700</w:t>
            </w:r>
          </w:p>
        </w:tc>
        <w:tc>
          <w:tcPr>
            <w:tcW w:w="1531" w:type="dxa"/>
          </w:tcPr>
          <w:p w14:paraId="43811736" w14:textId="77777777" w:rsidR="00031310" w:rsidRDefault="00EA4C4E">
            <w:pPr>
              <w:pStyle w:val="PlainText"/>
              <w:widowControl w:val="0"/>
              <w:ind w:left="0"/>
              <w:jc w:val="both"/>
            </w:pPr>
            <w:r>
              <w:rPr>
                <w:rFonts w:ascii="Times New Roman" w:eastAsia="MS Mincho" w:hAnsi="Times New Roman" w:cs="Times New Roman"/>
                <w:sz w:val="24"/>
                <w:szCs w:val="24"/>
              </w:rPr>
              <w:t>0.01</w:t>
            </w:r>
          </w:p>
        </w:tc>
      </w:tr>
      <w:tr w:rsidR="00031310" w14:paraId="6F189F3B" w14:textId="77777777">
        <w:tc>
          <w:tcPr>
            <w:tcW w:w="1709" w:type="dxa"/>
          </w:tcPr>
          <w:p w14:paraId="04127EF9" w14:textId="77777777" w:rsidR="00031310" w:rsidRDefault="00EA4C4E">
            <w:pPr>
              <w:pStyle w:val="PlainText"/>
              <w:widowControl w:val="0"/>
              <w:ind w:left="0"/>
              <w:jc w:val="both"/>
            </w:pPr>
            <w:r>
              <w:rPr>
                <w:rFonts w:ascii="Times New Roman" w:eastAsia="MS Mincho" w:hAnsi="Times New Roman" w:cs="Times New Roman"/>
                <w:sz w:val="24"/>
                <w:szCs w:val="24"/>
              </w:rPr>
              <w:t>PET_500m</w:t>
            </w:r>
          </w:p>
        </w:tc>
        <w:tc>
          <w:tcPr>
            <w:tcW w:w="2160" w:type="dxa"/>
          </w:tcPr>
          <w:p w14:paraId="549DD52C" w14:textId="77777777" w:rsidR="00031310" w:rsidRDefault="00EA4C4E">
            <w:pPr>
              <w:pStyle w:val="PlainText"/>
              <w:widowControl w:val="0"/>
              <w:ind w:left="0"/>
              <w:jc w:val="both"/>
            </w:pPr>
            <w:r>
              <w:rPr>
                <w:rFonts w:ascii="Times New Roman" w:eastAsia="MS Mincho" w:hAnsi="Times New Roman" w:cs="Times New Roman"/>
                <w:sz w:val="24"/>
                <w:szCs w:val="24"/>
              </w:rPr>
              <w:t>annual sum PET</w:t>
            </w:r>
          </w:p>
        </w:tc>
        <w:tc>
          <w:tcPr>
            <w:tcW w:w="1440" w:type="dxa"/>
          </w:tcPr>
          <w:p w14:paraId="4607D419" w14:textId="77777777" w:rsidR="00031310" w:rsidRDefault="00EA4C4E">
            <w:pPr>
              <w:pStyle w:val="PlainText"/>
              <w:widowControl w:val="0"/>
              <w:ind w:left="0"/>
              <w:jc w:val="both"/>
            </w:pPr>
            <w:r>
              <w:rPr>
                <w:rFonts w:ascii="Times New Roman" w:eastAsia="MS Mincho" w:hAnsi="Times New Roman" w:cs="Times New Roman"/>
                <w:sz w:val="24"/>
                <w:szCs w:val="24"/>
              </w:rPr>
              <w:t>kg/m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w:t>
            </w:r>
            <w:proofErr w:type="spellStart"/>
            <w:r>
              <w:rPr>
                <w:rFonts w:ascii="Times New Roman" w:eastAsia="MS Mincho" w:hAnsi="Times New Roman" w:cs="Times New Roman"/>
                <w:sz w:val="24"/>
                <w:szCs w:val="24"/>
              </w:rPr>
              <w:t>yr</w:t>
            </w:r>
            <w:proofErr w:type="spellEnd"/>
          </w:p>
        </w:tc>
        <w:tc>
          <w:tcPr>
            <w:tcW w:w="1260" w:type="dxa"/>
          </w:tcPr>
          <w:p w14:paraId="35609820" w14:textId="77777777" w:rsidR="00031310" w:rsidRDefault="00EA4C4E">
            <w:pPr>
              <w:pStyle w:val="PlainText"/>
              <w:widowControl w:val="0"/>
              <w:ind w:left="0"/>
              <w:jc w:val="both"/>
            </w:pPr>
            <w:r>
              <w:rPr>
                <w:rFonts w:ascii="Times New Roman" w:eastAsia="MS Mincho" w:hAnsi="Times New Roman" w:cs="Times New Roman"/>
                <w:sz w:val="24"/>
                <w:szCs w:val="24"/>
              </w:rPr>
              <w:t>uint16</w:t>
            </w:r>
          </w:p>
        </w:tc>
        <w:tc>
          <w:tcPr>
            <w:tcW w:w="1530" w:type="dxa"/>
          </w:tcPr>
          <w:p w14:paraId="55B8E3AF" w14:textId="77777777" w:rsidR="00031310" w:rsidRDefault="00EA4C4E">
            <w:pPr>
              <w:pStyle w:val="PlainText"/>
              <w:widowControl w:val="0"/>
              <w:ind w:left="0"/>
              <w:jc w:val="both"/>
            </w:pPr>
            <w:r>
              <w:rPr>
                <w:rFonts w:ascii="Times New Roman" w:eastAsia="MS Mincho" w:hAnsi="Times New Roman" w:cs="Times New Roman"/>
                <w:sz w:val="24"/>
                <w:szCs w:val="24"/>
              </w:rPr>
              <w:t>0 ~ 65500</w:t>
            </w:r>
          </w:p>
        </w:tc>
        <w:tc>
          <w:tcPr>
            <w:tcW w:w="1531" w:type="dxa"/>
          </w:tcPr>
          <w:p w14:paraId="3103852B" w14:textId="77777777" w:rsidR="00031310" w:rsidRDefault="00EA4C4E">
            <w:pPr>
              <w:pStyle w:val="PlainText"/>
              <w:widowControl w:val="0"/>
              <w:ind w:left="0"/>
              <w:jc w:val="both"/>
            </w:pPr>
            <w:r>
              <w:rPr>
                <w:rFonts w:ascii="Times New Roman" w:eastAsia="MS Mincho" w:hAnsi="Times New Roman" w:cs="Times New Roman"/>
                <w:sz w:val="24"/>
                <w:szCs w:val="24"/>
              </w:rPr>
              <w:t>0.1</w:t>
            </w:r>
          </w:p>
        </w:tc>
      </w:tr>
      <w:tr w:rsidR="00031310" w14:paraId="51E7AE25" w14:textId="77777777">
        <w:tc>
          <w:tcPr>
            <w:tcW w:w="1709" w:type="dxa"/>
          </w:tcPr>
          <w:p w14:paraId="1EA187C2" w14:textId="77777777" w:rsidR="00031310" w:rsidRDefault="00EA4C4E">
            <w:pPr>
              <w:pStyle w:val="PlainText"/>
              <w:widowControl w:val="0"/>
              <w:ind w:left="0"/>
              <w:jc w:val="both"/>
            </w:pPr>
            <w:r>
              <w:rPr>
                <w:rFonts w:ascii="Times New Roman" w:eastAsia="MS Mincho" w:hAnsi="Times New Roman" w:cs="Times New Roman"/>
                <w:sz w:val="24"/>
                <w:szCs w:val="24"/>
              </w:rPr>
              <w:t>PLE_500m</w:t>
            </w:r>
          </w:p>
        </w:tc>
        <w:tc>
          <w:tcPr>
            <w:tcW w:w="2160" w:type="dxa"/>
          </w:tcPr>
          <w:p w14:paraId="35E1D18D" w14:textId="77777777" w:rsidR="00031310" w:rsidRDefault="00EA4C4E">
            <w:pPr>
              <w:pStyle w:val="PlainText"/>
              <w:widowControl w:val="0"/>
              <w:ind w:left="0"/>
              <w:jc w:val="both"/>
            </w:pPr>
            <w:r>
              <w:rPr>
                <w:rFonts w:ascii="Times New Roman" w:eastAsia="MS Mincho" w:hAnsi="Times New Roman" w:cs="Times New Roman"/>
                <w:sz w:val="24"/>
                <w:szCs w:val="24"/>
              </w:rPr>
              <w:t>annual average PLE</w:t>
            </w:r>
          </w:p>
        </w:tc>
        <w:tc>
          <w:tcPr>
            <w:tcW w:w="1440" w:type="dxa"/>
          </w:tcPr>
          <w:p w14:paraId="3330F147" w14:textId="77777777" w:rsidR="00031310" w:rsidRDefault="00EA4C4E">
            <w:pPr>
              <w:pStyle w:val="PlainText"/>
              <w:widowControl w:val="0"/>
              <w:ind w:left="0"/>
              <w:jc w:val="both"/>
            </w:pPr>
            <w:r>
              <w:rPr>
                <w:rFonts w:ascii="Times New Roman" w:eastAsia="MS Mincho" w:hAnsi="Times New Roman" w:cs="Times New Roman"/>
                <w:sz w:val="24"/>
                <w:szCs w:val="24"/>
              </w:rPr>
              <w:t>MJ/m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/d</w:t>
            </w:r>
          </w:p>
        </w:tc>
        <w:tc>
          <w:tcPr>
            <w:tcW w:w="1260" w:type="dxa"/>
          </w:tcPr>
          <w:p w14:paraId="77A50F93" w14:textId="77777777" w:rsidR="00031310" w:rsidRDefault="00EA4C4E">
            <w:pPr>
              <w:pStyle w:val="PlainText"/>
              <w:widowControl w:val="0"/>
              <w:ind w:left="0"/>
              <w:jc w:val="both"/>
            </w:pPr>
            <w:r>
              <w:rPr>
                <w:rFonts w:ascii="Times New Roman" w:eastAsia="MS Mincho" w:hAnsi="Times New Roman" w:cs="Times New Roman"/>
                <w:sz w:val="24"/>
                <w:szCs w:val="24"/>
              </w:rPr>
              <w:t>int16</w:t>
            </w:r>
          </w:p>
        </w:tc>
        <w:tc>
          <w:tcPr>
            <w:tcW w:w="1530" w:type="dxa"/>
          </w:tcPr>
          <w:p w14:paraId="125371FE" w14:textId="77777777" w:rsidR="00031310" w:rsidRDefault="00EA4C4E">
            <w:pPr>
              <w:pStyle w:val="PlainText"/>
              <w:widowControl w:val="0"/>
              <w:ind w:left="0"/>
              <w:jc w:val="both"/>
            </w:pPr>
            <w:r>
              <w:rPr>
                <w:rFonts w:ascii="Times New Roman" w:eastAsia="MS Mincho" w:hAnsi="Times New Roman" w:cs="Times New Roman"/>
                <w:sz w:val="24"/>
                <w:szCs w:val="24"/>
              </w:rPr>
              <w:t>0 ~ 32700</w:t>
            </w:r>
          </w:p>
        </w:tc>
        <w:tc>
          <w:tcPr>
            <w:tcW w:w="1531" w:type="dxa"/>
          </w:tcPr>
          <w:p w14:paraId="2648CCDB" w14:textId="77777777" w:rsidR="00031310" w:rsidRDefault="00EA4C4E">
            <w:pPr>
              <w:pStyle w:val="PlainText"/>
              <w:widowControl w:val="0"/>
              <w:ind w:left="0"/>
              <w:jc w:val="both"/>
            </w:pPr>
            <w:r>
              <w:rPr>
                <w:rFonts w:ascii="Times New Roman" w:eastAsia="MS Mincho" w:hAnsi="Times New Roman" w:cs="Times New Roman"/>
                <w:sz w:val="24"/>
                <w:szCs w:val="24"/>
              </w:rPr>
              <w:t>0.01</w:t>
            </w:r>
          </w:p>
        </w:tc>
      </w:tr>
      <w:tr w:rsidR="00031310" w14:paraId="51D95FB0" w14:textId="77777777">
        <w:tc>
          <w:tcPr>
            <w:tcW w:w="1709" w:type="dxa"/>
          </w:tcPr>
          <w:p w14:paraId="4010B14F" w14:textId="77777777" w:rsidR="00031310" w:rsidRDefault="00EA4C4E">
            <w:pPr>
              <w:pStyle w:val="PlainText"/>
              <w:widowControl w:val="0"/>
              <w:ind w:left="0"/>
              <w:jc w:val="both"/>
            </w:pPr>
            <w:r>
              <w:rPr>
                <w:rFonts w:ascii="Times New Roman" w:eastAsia="MS Mincho" w:hAnsi="Times New Roman" w:cs="Times New Roman"/>
                <w:sz w:val="24"/>
                <w:szCs w:val="24"/>
              </w:rPr>
              <w:t>ET_QC_500m</w:t>
            </w:r>
          </w:p>
        </w:tc>
        <w:tc>
          <w:tcPr>
            <w:tcW w:w="2160" w:type="dxa"/>
          </w:tcPr>
          <w:p w14:paraId="5B6F04CE" w14:textId="77777777" w:rsidR="00031310" w:rsidRDefault="00EA4C4E">
            <w:pPr>
              <w:pStyle w:val="PlainText"/>
              <w:widowControl w:val="0"/>
              <w:ind w:left="0"/>
              <w:jc w:val="both"/>
            </w:pPr>
            <w:r>
              <w:rPr>
                <w:rFonts w:ascii="Times New Roman" w:eastAsia="MS Mincho" w:hAnsi="Times New Roman" w:cs="Times New Roman"/>
                <w:sz w:val="24"/>
                <w:szCs w:val="24"/>
              </w:rPr>
              <w:t>Quality Assessment</w:t>
            </w:r>
          </w:p>
        </w:tc>
        <w:tc>
          <w:tcPr>
            <w:tcW w:w="1440" w:type="dxa"/>
          </w:tcPr>
          <w:p w14:paraId="4D183C42" w14:textId="77777777" w:rsidR="00031310" w:rsidRDefault="00EA4C4E">
            <w:pPr>
              <w:pStyle w:val="PlainText"/>
              <w:widowControl w:val="0"/>
              <w:ind w:left="0"/>
              <w:jc w:val="both"/>
            </w:pPr>
            <w:r>
              <w:rPr>
                <w:rFonts w:ascii="Times New Roman" w:eastAsia="MS Mincho" w:hAnsi="Times New Roman" w:cs="Times New Roman"/>
                <w:sz w:val="24"/>
                <w:szCs w:val="24"/>
              </w:rPr>
              <w:t>Percent (%)</w:t>
            </w:r>
          </w:p>
        </w:tc>
        <w:tc>
          <w:tcPr>
            <w:tcW w:w="1260" w:type="dxa"/>
          </w:tcPr>
          <w:p w14:paraId="35CC9F9F" w14:textId="77777777" w:rsidR="00031310" w:rsidRDefault="00EA4C4E">
            <w:pPr>
              <w:pStyle w:val="PlainText"/>
              <w:widowControl w:val="0"/>
              <w:ind w:left="0"/>
              <w:jc w:val="both"/>
            </w:pPr>
            <w:r>
              <w:rPr>
                <w:rFonts w:ascii="Times New Roman" w:eastAsia="MS Mincho" w:hAnsi="Times New Roman" w:cs="Times New Roman"/>
                <w:sz w:val="24"/>
                <w:szCs w:val="24"/>
              </w:rPr>
              <w:t>uint8</w:t>
            </w:r>
          </w:p>
        </w:tc>
        <w:tc>
          <w:tcPr>
            <w:tcW w:w="1530" w:type="dxa"/>
          </w:tcPr>
          <w:p w14:paraId="061462F8" w14:textId="77777777" w:rsidR="00031310" w:rsidRDefault="00EA4C4E">
            <w:pPr>
              <w:pStyle w:val="PlainText"/>
              <w:widowControl w:val="0"/>
              <w:ind w:left="0"/>
              <w:jc w:val="both"/>
            </w:pPr>
            <w:r>
              <w:rPr>
                <w:rFonts w:ascii="Times New Roman" w:eastAsia="MS Mincho" w:hAnsi="Times New Roman" w:cs="Times New Roman"/>
                <w:sz w:val="24"/>
                <w:szCs w:val="24"/>
              </w:rPr>
              <w:t>0 ~ 100</w:t>
            </w:r>
          </w:p>
        </w:tc>
        <w:tc>
          <w:tcPr>
            <w:tcW w:w="1531" w:type="dxa"/>
          </w:tcPr>
          <w:p w14:paraId="57256D27" w14:textId="0D104E7A" w:rsidR="00031310" w:rsidRDefault="007D3799">
            <w:pPr>
              <w:pStyle w:val="PlainText"/>
              <w:widowControl w:val="0"/>
              <w:ind w:left="0"/>
              <w:jc w:val="both"/>
            </w:pPr>
            <w:r>
              <w:rPr>
                <w:rFonts w:ascii="Times New Roman" w:eastAsia="MS Mincho" w:hAnsi="Times New Roman" w:cs="Times New Roman"/>
                <w:sz w:val="24"/>
                <w:szCs w:val="24"/>
              </w:rPr>
              <w:t>1.0</w:t>
            </w:r>
          </w:p>
        </w:tc>
      </w:tr>
    </w:tbl>
    <w:p w14:paraId="1B38B9B5" w14:textId="77777777" w:rsidR="00031310" w:rsidRDefault="00031310"/>
    <w:p w14:paraId="6A391544" w14:textId="46F99C3D" w:rsidR="00031310" w:rsidRDefault="00EA4C4E" w:rsidP="00B825B3">
      <w:pPr>
        <w:ind w:left="0"/>
        <w:jc w:val="both"/>
      </w:pPr>
      <w:r>
        <w:t>Though data attributes list one _</w:t>
      </w:r>
      <w:proofErr w:type="spellStart"/>
      <w:r>
        <w:t>FillValue</w:t>
      </w:r>
      <w:proofErr w:type="spellEnd"/>
      <w:r>
        <w:t>: 65535 for ET_500m and PET_500m with unsigned uint16 in the HDFEOS</w:t>
      </w:r>
      <w:r w:rsidR="00B825B3">
        <w:t>5</w:t>
      </w:r>
      <w:r>
        <w:t xml:space="preserve"> </w:t>
      </w:r>
      <w:r w:rsidR="00B825B3">
        <w:t xml:space="preserve">VNP16A3 </w:t>
      </w:r>
      <w:r>
        <w:t>(or VNP16A3GF) file, there are, in fact, 7 fill values as listed below for non-vegetated pixels without ET calculations.</w:t>
      </w:r>
    </w:p>
    <w:p w14:paraId="2AF1BA9B" w14:textId="77777777" w:rsidR="00031310" w:rsidRDefault="00031310">
      <w:pPr>
        <w:ind w:left="0"/>
      </w:pPr>
    </w:p>
    <w:p w14:paraId="16908B2D" w14:textId="77777777" w:rsidR="00031310" w:rsidRDefault="00EA4C4E">
      <w:r>
        <w:t>65535 = _</w:t>
      </w:r>
      <w:proofErr w:type="spellStart"/>
      <w:r>
        <w:t>Fillvalue</w:t>
      </w:r>
      <w:proofErr w:type="spellEnd"/>
    </w:p>
    <w:p w14:paraId="42380009" w14:textId="77777777" w:rsidR="00031310" w:rsidRDefault="00EA4C4E">
      <w:r>
        <w:t>65534 = land cover assigned as perennial salt or Water bodies</w:t>
      </w:r>
    </w:p>
    <w:p w14:paraId="79662611" w14:textId="77777777" w:rsidR="00031310" w:rsidRDefault="00EA4C4E">
      <w:r>
        <w:t>65533 = land cover assigned as barren, sparse veg (rock, tundra, desert)</w:t>
      </w:r>
    </w:p>
    <w:p w14:paraId="5ECF6158" w14:textId="77777777" w:rsidR="00031310" w:rsidRDefault="00EA4C4E">
      <w:r>
        <w:t>65532 = land cover assigned as perennial snow, ice.</w:t>
      </w:r>
    </w:p>
    <w:p w14:paraId="54D660E2" w14:textId="77777777" w:rsidR="00031310" w:rsidRDefault="00EA4C4E">
      <w:r>
        <w:t>65531 = land cover assigned as "permanent" wetlands/inundated marshland</w:t>
      </w:r>
    </w:p>
    <w:p w14:paraId="3F4F97DE" w14:textId="77777777" w:rsidR="00031310" w:rsidRDefault="00EA4C4E">
      <w:r>
        <w:t>65530 = land cover assigned as urban/built-up</w:t>
      </w:r>
    </w:p>
    <w:p w14:paraId="6B81EA5A" w14:textId="77777777" w:rsidR="00031310" w:rsidRDefault="00EA4C4E">
      <w:r>
        <w:t>65529 = land cover assigned as "unclassified" or (not able to determine)</w:t>
      </w:r>
    </w:p>
    <w:p w14:paraId="72085C34" w14:textId="77777777" w:rsidR="00031310" w:rsidRDefault="00031310">
      <w:pPr>
        <w:ind w:left="0"/>
      </w:pPr>
    </w:p>
    <w:p w14:paraId="45C62B1B" w14:textId="4BA00C80" w:rsidR="00031310" w:rsidRDefault="00EA4C4E" w:rsidP="00B825B3">
      <w:pPr>
        <w:spacing w:before="120"/>
        <w:ind w:left="0" w:firstLine="432"/>
        <w:jc w:val="both"/>
      </w:pPr>
      <w:r>
        <w:t>For LE_500m and PLE_500m in signed int16, similarly, though data attributes list one _</w:t>
      </w:r>
      <w:proofErr w:type="spellStart"/>
      <w:r>
        <w:t>FillValue</w:t>
      </w:r>
      <w:proofErr w:type="spellEnd"/>
      <w:r>
        <w:t>: 32767 for LE_500m and PLE_500m with signed int16 in the HDFEOS VNP16A3GF file, there are, in fact, 7 fill values as listed below for non-vegetated pixels without ET calculations.</w:t>
      </w:r>
    </w:p>
    <w:p w14:paraId="5E707A28" w14:textId="77777777" w:rsidR="00031310" w:rsidRDefault="00031310">
      <w:pPr>
        <w:ind w:left="0"/>
      </w:pPr>
    </w:p>
    <w:p w14:paraId="1C0B3816" w14:textId="77777777" w:rsidR="00031310" w:rsidRDefault="00EA4C4E">
      <w:r>
        <w:t>32767 = _</w:t>
      </w:r>
      <w:proofErr w:type="spellStart"/>
      <w:r>
        <w:t>Fillvalue</w:t>
      </w:r>
      <w:proofErr w:type="spellEnd"/>
    </w:p>
    <w:p w14:paraId="75735884" w14:textId="77777777" w:rsidR="00031310" w:rsidRDefault="00EA4C4E">
      <w:r>
        <w:t>32766 = land cover assigned as perennial salt or Water bodies</w:t>
      </w:r>
    </w:p>
    <w:p w14:paraId="6517A674" w14:textId="77777777" w:rsidR="00031310" w:rsidRDefault="00EA4C4E">
      <w:r>
        <w:t>32765 = land cover assigned as barren, sparse veg (rock, tundra, desert)</w:t>
      </w:r>
    </w:p>
    <w:p w14:paraId="57599C90" w14:textId="77777777" w:rsidR="00031310" w:rsidRDefault="00EA4C4E">
      <w:r>
        <w:t>32764 = land cover assigned as perennial snow, ice.</w:t>
      </w:r>
    </w:p>
    <w:p w14:paraId="23D813C9" w14:textId="77777777" w:rsidR="00031310" w:rsidRDefault="00EA4C4E">
      <w:r>
        <w:t>32763 = land cover assigned as "permanent" wetlands/inundated marshland</w:t>
      </w:r>
    </w:p>
    <w:p w14:paraId="337BC6D5" w14:textId="77777777" w:rsidR="00031310" w:rsidRDefault="00EA4C4E">
      <w:r>
        <w:t>32762 = land cover assigned as urban/built-up</w:t>
      </w:r>
    </w:p>
    <w:p w14:paraId="2E87B7CA" w14:textId="77777777" w:rsidR="00031310" w:rsidRDefault="00EA4C4E">
      <w:r>
        <w:t>32761 = land cover assigned as "unclassified" or (not able to determine)</w:t>
      </w:r>
    </w:p>
    <w:p w14:paraId="27A29521" w14:textId="77777777" w:rsidR="00031310" w:rsidRDefault="00031310">
      <w:pPr>
        <w:ind w:left="0"/>
      </w:pPr>
    </w:p>
    <w:p w14:paraId="233FD72D" w14:textId="77777777" w:rsidR="00031310" w:rsidRDefault="00EA4C4E" w:rsidP="00B825B3">
      <w:pPr>
        <w:ind w:left="0" w:firstLine="432"/>
        <w:jc w:val="both"/>
      </w:pPr>
      <w:r>
        <w:t>Note: two fill values, 251 and 252, in the VIIRS FPAR/LAI are mislabeled as 253, and as a result, the subsequent VIIRS annual ET_500m and PET_500m (LE_500m and PLE_500m) mislabeled two fill values, 65531 (32763) and 65532 (32764), as 655333 (32765) because of data dependence.</w:t>
      </w:r>
    </w:p>
    <w:p w14:paraId="632E9810" w14:textId="77777777" w:rsidR="00031310" w:rsidRDefault="00031310">
      <w:pPr>
        <w:ind w:left="0"/>
      </w:pPr>
    </w:p>
    <w:p w14:paraId="0D8C78EE" w14:textId="77777777" w:rsidR="00031310" w:rsidRDefault="00EA4C4E">
      <w:r>
        <w:t>65535 = _</w:t>
      </w:r>
      <w:proofErr w:type="spellStart"/>
      <w:r>
        <w:t>Fillvalue</w:t>
      </w:r>
      <w:proofErr w:type="spellEnd"/>
    </w:p>
    <w:p w14:paraId="6107F124" w14:textId="77777777" w:rsidR="00031310" w:rsidRDefault="00EA4C4E">
      <w:r>
        <w:t>65534 = land cover assigned as perennial salt or Water bodies</w:t>
      </w:r>
    </w:p>
    <w:p w14:paraId="08BAD224" w14:textId="4DC7ECB1" w:rsidR="00031310" w:rsidRDefault="00EA4C4E" w:rsidP="004E4DCB">
      <w:pPr>
        <w:ind w:left="1440" w:hanging="720"/>
      </w:pPr>
      <w:r>
        <w:t xml:space="preserve">65533 = land cover assigned as </w:t>
      </w:r>
      <w:proofErr w:type="spellStart"/>
      <w:proofErr w:type="gramStart"/>
      <w:r>
        <w:t>barren,sparse</w:t>
      </w:r>
      <w:proofErr w:type="spellEnd"/>
      <w:proofErr w:type="gramEnd"/>
      <w:r>
        <w:t xml:space="preserve"> veg (rock, tundra, desert)</w:t>
      </w:r>
    </w:p>
    <w:p w14:paraId="021C5D50" w14:textId="77777777" w:rsidR="00031310" w:rsidRDefault="00EA4C4E">
      <w:r>
        <w:t>65532 = land cover assigned as perennial snow, ice.</w:t>
      </w:r>
    </w:p>
    <w:p w14:paraId="15347C50" w14:textId="77777777" w:rsidR="00031310" w:rsidRDefault="00EA4C4E">
      <w:r>
        <w:t>65531 = land cover assigned as "permanent" wetlands/inundated marshland</w:t>
      </w:r>
    </w:p>
    <w:p w14:paraId="1991D006" w14:textId="77777777" w:rsidR="00031310" w:rsidRDefault="00EA4C4E">
      <w:r>
        <w:t>65530 = land cover assigned as urban/built-up</w:t>
      </w:r>
    </w:p>
    <w:p w14:paraId="09E64130" w14:textId="77777777" w:rsidR="00031310" w:rsidRDefault="00EA4C4E">
      <w:r>
        <w:t>65529 = land cover assigned as "unclassified" or (not able to determine)</w:t>
      </w:r>
    </w:p>
    <w:p w14:paraId="615F7B18" w14:textId="77777777" w:rsidR="00031310" w:rsidRDefault="00031310"/>
    <w:p w14:paraId="27022B73" w14:textId="70982A3C" w:rsidR="00031310" w:rsidRDefault="00AA33C9" w:rsidP="004E4DCB">
      <w:pPr>
        <w:spacing w:after="120"/>
        <w:ind w:left="0"/>
        <w:jc w:val="both"/>
      </w:pPr>
      <w:r>
        <w:t xml:space="preserve">The </w:t>
      </w:r>
      <w:r w:rsidR="00EA4C4E">
        <w:t xml:space="preserve">QC data field in </w:t>
      </w:r>
      <w:r>
        <w:t xml:space="preserve">the </w:t>
      </w:r>
      <w:r w:rsidR="00EA4C4E">
        <w:t>annual VNP16A3GF, ET_QC_500m, is different from most VIIRS/MODIS QC data sets because it is not a series of bit flags but a more meaningful QC assessment for annual composite values. We used the method proposed by Zhao et al. (2005) to define annual ET QC as:</w:t>
      </w:r>
    </w:p>
    <w:p w14:paraId="1949AB8D" w14:textId="24BE36B7" w:rsidR="00031310" w:rsidRDefault="00EA4C4E" w:rsidP="004E4DCB">
      <w:pPr>
        <w:jc w:val="both"/>
      </w:pPr>
      <m:oMath>
        <m:r>
          <m:rPr>
            <m:lit/>
            <m:nor/>
          </m:rPr>
          <w:rPr>
            <w:rFonts w:ascii="Cambria Math" w:hAnsi="Cambria Math"/>
          </w:rPr>
          <m:t>ET_QC_500m</m:t>
        </m:r>
        <m:r>
          <w:rPr>
            <w:rFonts w:ascii="Cambria Math" w:hAnsi="Cambria Math"/>
          </w:rPr>
          <m:t>=</m:t>
        </m:r>
        <m:f>
          <m:fPr>
            <m:ctrlPr>
              <w:rPr>
                <w:rFonts w:ascii="Cambria Math" w:hAnsi="Cambria Math"/>
              </w:rPr>
            </m:ctrlPr>
          </m:fPr>
          <m:num>
            <m:r>
              <w:rPr>
                <w:rFonts w:ascii="Cambria Math" w:hAnsi="Cambria Math"/>
              </w:rPr>
              <m:t>100×</m:t>
            </m:r>
            <m:sSub>
              <m:sSubPr>
                <m:ctrlPr>
                  <w:rPr>
                    <w:rFonts w:ascii="Cambria Math" w:hAnsi="Cambria Math"/>
                  </w:rPr>
                </m:ctrlPr>
              </m:sSubPr>
              <m:e>
                <m:r>
                  <w:rPr>
                    <w:rFonts w:ascii="Cambria Math" w:hAnsi="Cambria Math"/>
                  </w:rPr>
                  <m:t>N</m:t>
                </m:r>
              </m:e>
              <m:sub>
                <m:r>
                  <w:rPr>
                    <w:rFonts w:ascii="Cambria Math" w:hAnsi="Cambria Math"/>
                  </w:rPr>
                  <m:t>g</m:t>
                </m:r>
              </m:sub>
            </m:sSub>
          </m:num>
          <m:den>
            <m:sSub>
              <m:sSubPr>
                <m:ctrlPr>
                  <w:rPr>
                    <w:rFonts w:ascii="Cambria Math" w:hAnsi="Cambria Math"/>
                  </w:rPr>
                </m:ctrlPr>
              </m:sSubPr>
              <m:e>
                <m:r>
                  <w:rPr>
                    <w:rFonts w:ascii="Cambria Math" w:hAnsi="Cambria Math"/>
                  </w:rPr>
                  <m:t>N</m:t>
                </m:r>
              </m:e>
              <m:sub>
                <m:r>
                  <m:rPr>
                    <m:lit/>
                    <m:nor/>
                  </m:rPr>
                  <w:rPr>
                    <w:rFonts w:ascii="Cambria Math" w:hAnsi="Cambria Math"/>
                  </w:rPr>
                  <m:t>total</m:t>
                </m:r>
              </m:sub>
            </m:sSub>
          </m:den>
        </m:f>
      </m:oMath>
      <w:r w:rsidR="004E4DCB">
        <w:tab/>
      </w:r>
      <w:r w:rsidR="004E4DCB">
        <w:tab/>
      </w:r>
      <w:r w:rsidR="004E4DCB">
        <w:tab/>
      </w:r>
      <w:r w:rsidR="004E4DCB">
        <w:tab/>
      </w:r>
      <w:r w:rsidR="004E4DCB">
        <w:tab/>
      </w:r>
      <w:r w:rsidR="004E4DCB">
        <w:tab/>
        <w:t>(5.2)</w:t>
      </w:r>
    </w:p>
    <w:p w14:paraId="3A4712B8" w14:textId="77777777" w:rsidR="00031310" w:rsidRDefault="00031310"/>
    <w:p w14:paraId="53A5F628" w14:textId="0A5A76E5" w:rsidR="00031310" w:rsidRDefault="001860FE" w:rsidP="004E4DCB">
      <w:pPr>
        <w:ind w:left="0"/>
        <w:jc w:val="both"/>
      </w:pPr>
      <w:r>
        <w:t>w</w:t>
      </w:r>
      <w:r w:rsidR="00EA4C4E">
        <w:t xml:space="preserve">here </w:t>
      </w:r>
      <w:r w:rsidR="00EA4C4E">
        <w:rPr>
          <w:i/>
          <w:iCs/>
        </w:rPr>
        <w:t>N</w:t>
      </w:r>
      <w:r w:rsidR="00EA4C4E">
        <w:rPr>
          <w:vertAlign w:val="subscript"/>
        </w:rPr>
        <w:t>g</w:t>
      </w:r>
      <w:r w:rsidR="00EA4C4E">
        <w:t xml:space="preserve"> is the number of days during the growing season with poor-quality VIIRS/MODIS 500m</w:t>
      </w:r>
      <w:r w:rsidR="00C402CC">
        <w:t xml:space="preserve"> </w:t>
      </w:r>
      <w:r w:rsidR="00EA4C4E">
        <w:t xml:space="preserve">LAI inputs. </w:t>
      </w:r>
      <w:proofErr w:type="spellStart"/>
      <w:r w:rsidR="00EA4C4E">
        <w:rPr>
          <w:i/>
          <w:iCs/>
        </w:rPr>
        <w:t>N</w:t>
      </w:r>
      <w:r w:rsidR="00EA4C4E">
        <w:rPr>
          <w:vertAlign w:val="subscript"/>
        </w:rPr>
        <w:t>total</w:t>
      </w:r>
      <w:proofErr w:type="spellEnd"/>
      <w:r w:rsidR="00EA4C4E">
        <w:t xml:space="preserve"> is total number of days in the growing season. The growing season is defined as all days with </w:t>
      </w:r>
      <w:proofErr w:type="spellStart"/>
      <w:r w:rsidR="00EA4C4E">
        <w:t>T</w:t>
      </w:r>
      <w:r w:rsidR="00EA4C4E">
        <w:rPr>
          <w:vertAlign w:val="subscript"/>
        </w:rPr>
        <w:t>min</w:t>
      </w:r>
      <w:proofErr w:type="spellEnd"/>
      <w:r w:rsidR="00EA4C4E">
        <w:t xml:space="preserve"> above the value where stomata close, as in the BPLUT. For example, an ET_QC_500m value of 85 for a pixel implies that during the growing days, for 85 percent of days, gap-filled input </w:t>
      </w:r>
      <w:proofErr w:type="spellStart"/>
      <w:r w:rsidR="00EA4C4E">
        <w:t>fPAR</w:t>
      </w:r>
      <w:proofErr w:type="spellEnd"/>
      <w:r w:rsidR="00EA4C4E">
        <w:t>/LAI had to be used because of unfavorable atmospheric conditions. As expected, more humid forested regions tend to have high ET_QC_500m, whereas dry regions with grasslands or shrubs tend to have low ET_QC_500m (Figure 6c in Zhao et al., 2005).</w:t>
      </w:r>
    </w:p>
    <w:p w14:paraId="20E14A27" w14:textId="1B8B7F3F" w:rsidR="00031310" w:rsidRDefault="00EA4C4E" w:rsidP="004E4DCB">
      <w:pPr>
        <w:spacing w:before="120"/>
        <w:ind w:left="0" w:firstLine="432"/>
        <w:jc w:val="both"/>
      </w:pPr>
      <w:r>
        <w:t xml:space="preserve">The data type of ET_QC_500m is unsigned 1-byte integer (uint8) with a valid range from 0 to 100. </w:t>
      </w:r>
      <w:r w:rsidR="004E4DCB">
        <w:t xml:space="preserve"> </w:t>
      </w:r>
      <w:r>
        <w:t>Though data attributes list only one _</w:t>
      </w:r>
      <w:proofErr w:type="spellStart"/>
      <w:r>
        <w:t>FillValue</w:t>
      </w:r>
      <w:proofErr w:type="spellEnd"/>
      <w:r>
        <w:t xml:space="preserve">: 255 in the HDFEOS VNPMOD16A3 (or MOD16A3GF) file, there are, in fact, 7 fill values as listed below for non-vegetated pixels.  </w:t>
      </w:r>
    </w:p>
    <w:p w14:paraId="7DE68A0A" w14:textId="77777777" w:rsidR="00031310" w:rsidRDefault="00031310">
      <w:pPr>
        <w:ind w:left="0" w:firstLine="720"/>
      </w:pPr>
    </w:p>
    <w:p w14:paraId="104A939A" w14:textId="77777777" w:rsidR="00031310" w:rsidRDefault="00EA4C4E">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255 = _</w:t>
      </w:r>
      <w:proofErr w:type="spellStart"/>
      <w:r>
        <w:rPr>
          <w:rFonts w:ascii="Times New Roman" w:eastAsia="MS Mincho" w:hAnsi="Times New Roman" w:cs="Times New Roman"/>
          <w:bCs/>
          <w:sz w:val="24"/>
          <w:szCs w:val="24"/>
          <w:lang w:eastAsia="zh-CN"/>
        </w:rPr>
        <w:t>Fillvalue</w:t>
      </w:r>
      <w:proofErr w:type="spellEnd"/>
      <w:r>
        <w:rPr>
          <w:rFonts w:ascii="Times New Roman" w:eastAsia="MS Mincho" w:hAnsi="Times New Roman" w:cs="Times New Roman"/>
          <w:bCs/>
          <w:sz w:val="24"/>
          <w:szCs w:val="24"/>
          <w:lang w:eastAsia="zh-CN"/>
        </w:rPr>
        <w:t xml:space="preserve">             </w:t>
      </w:r>
    </w:p>
    <w:p w14:paraId="180D3910" w14:textId="77777777" w:rsidR="00031310" w:rsidRDefault="00EA4C4E">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254 = land cover assigned as perennial salt or Water bodies</w:t>
      </w:r>
    </w:p>
    <w:p w14:paraId="4E52E48B" w14:textId="53ACC01E" w:rsidR="00031310" w:rsidRDefault="00EA4C4E">
      <w:pPr>
        <w:jc w:val="both"/>
        <w:rPr>
          <w:rFonts w:eastAsia="MS Mincho"/>
          <w:bCs/>
        </w:rPr>
      </w:pPr>
      <w:r>
        <w:rPr>
          <w:rFonts w:eastAsia="MS Mincho"/>
          <w:bCs/>
        </w:rPr>
        <w:t xml:space="preserve">253 = land cover assigned as </w:t>
      </w:r>
      <w:proofErr w:type="spellStart"/>
      <w:proofErr w:type="gramStart"/>
      <w:r>
        <w:rPr>
          <w:rFonts w:eastAsia="MS Mincho"/>
          <w:bCs/>
        </w:rPr>
        <w:t>barren,sparse</w:t>
      </w:r>
      <w:proofErr w:type="spellEnd"/>
      <w:proofErr w:type="gramEnd"/>
      <w:r>
        <w:rPr>
          <w:rFonts w:eastAsia="MS Mincho"/>
          <w:bCs/>
        </w:rPr>
        <w:t xml:space="preserve"> veg (rock, tundra, desert)</w:t>
      </w:r>
    </w:p>
    <w:p w14:paraId="5D167825" w14:textId="77777777" w:rsidR="00031310" w:rsidRDefault="00EA4C4E">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252 = land cover assigned as perennial snow, ice.</w:t>
      </w:r>
    </w:p>
    <w:p w14:paraId="420C0081" w14:textId="77777777" w:rsidR="00031310" w:rsidRDefault="00EA4C4E">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251 = land cover assigned as "permanent" wetlands/inundated marshland</w:t>
      </w:r>
    </w:p>
    <w:p w14:paraId="617C1F44" w14:textId="77777777" w:rsidR="00031310" w:rsidRDefault="00EA4C4E">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250 = land cover assigned as urban/built-up</w:t>
      </w:r>
    </w:p>
    <w:p w14:paraId="06682FEB" w14:textId="1DC3F713" w:rsidR="00D53B7F" w:rsidRDefault="00EA4C4E" w:rsidP="00E117F3">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249 = land cover assigned as "unclassified" or not able to determine</w:t>
      </w:r>
    </w:p>
    <w:p w14:paraId="2E72E6BA" w14:textId="42CCB4FC" w:rsidR="00031310" w:rsidRDefault="00EA4C4E">
      <w:pPr>
        <w:pStyle w:val="Heading1"/>
      </w:pPr>
      <w:bookmarkStart w:id="83" w:name="_Toc181041703"/>
      <w:r>
        <w:t>6</w:t>
      </w:r>
      <w:r w:rsidR="00742BD2">
        <w:t>.</w:t>
      </w:r>
      <w:r>
        <w:t xml:space="preserve"> </w:t>
      </w:r>
      <w:bookmarkStart w:id="84" w:name="X85a7b38a36b6ba89ddc98ec326f4d74491bb0c5"/>
      <w:r>
        <w:t>List of NTSG Co-Authored Papers Using MOD16</w:t>
      </w:r>
      <w:bookmarkEnd w:id="83"/>
      <w:bookmarkEnd w:id="84"/>
    </w:p>
    <w:p w14:paraId="68966D82" w14:textId="77777777" w:rsidR="00031310" w:rsidRDefault="00EA4C4E" w:rsidP="004E4DCB">
      <w:pPr>
        <w:pStyle w:val="References"/>
        <w:jc w:val="both"/>
      </w:pPr>
      <w:r>
        <w:t xml:space="preserve">Cleugh, H. A., </w:t>
      </w:r>
      <w:proofErr w:type="spellStart"/>
      <w:r>
        <w:t>Leuning</w:t>
      </w:r>
      <w:proofErr w:type="spellEnd"/>
      <w:r>
        <w:t>, R., Mu, Q., and Running, S. W. (2007). Regional evaporation estimates from flux tower and MODIS satellite data. </w:t>
      </w:r>
      <w:r w:rsidRPr="00471F51">
        <w:rPr>
          <w:i/>
          <w:iCs/>
        </w:rPr>
        <w:t>Remote Sensing of Environment</w:t>
      </w:r>
      <w:r>
        <w:t>, 106(3), 285-304.</w:t>
      </w:r>
    </w:p>
    <w:p w14:paraId="798D3F61" w14:textId="77777777" w:rsidR="00031310" w:rsidRDefault="00EA4C4E" w:rsidP="004E4DCB">
      <w:pPr>
        <w:pStyle w:val="References"/>
        <w:jc w:val="both"/>
      </w:pPr>
      <w:r>
        <w:t xml:space="preserve">Mu, Q., </w:t>
      </w:r>
      <w:proofErr w:type="spellStart"/>
      <w:r>
        <w:t>Heinsch</w:t>
      </w:r>
      <w:proofErr w:type="spellEnd"/>
      <w:r>
        <w:t>, F. A., Zhao, M., and Running, S. W. (2007). Development of a global evapotranspiration algorithm based on MODIS and global meteorology data. </w:t>
      </w:r>
      <w:r w:rsidRPr="00471F51">
        <w:rPr>
          <w:i/>
          <w:iCs/>
        </w:rPr>
        <w:t>Remote Sensing of Environment</w:t>
      </w:r>
      <w:r>
        <w:t>, 111(4), 519-536.</w:t>
      </w:r>
    </w:p>
    <w:p w14:paraId="5A40A091" w14:textId="77777777" w:rsidR="00001DFB" w:rsidRDefault="00001DFB" w:rsidP="00001DFB">
      <w:pPr>
        <w:pStyle w:val="References"/>
        <w:jc w:val="both"/>
      </w:pPr>
      <w:proofErr w:type="spellStart"/>
      <w:r>
        <w:t>Renzullo</w:t>
      </w:r>
      <w:proofErr w:type="spellEnd"/>
      <w:r>
        <w:t xml:space="preserve">, L. J., Barrett, D. J., Marks, A. S., Hill, M. J., </w:t>
      </w:r>
      <w:proofErr w:type="spellStart"/>
      <w:r>
        <w:t>Guerschman</w:t>
      </w:r>
      <w:proofErr w:type="spellEnd"/>
      <w:r>
        <w:t>, J. P., Mu, Q., and Running, S. W. (2008). Multi-sensor model-data fusion for estimation of hydrologic and energy flux parameters. </w:t>
      </w:r>
      <w:r w:rsidRPr="00471F51">
        <w:rPr>
          <w:i/>
          <w:iCs/>
        </w:rPr>
        <w:t>Remote Sensing of Environment</w:t>
      </w:r>
      <w:r>
        <w:t>, 112(4), 1306-1319.</w:t>
      </w:r>
    </w:p>
    <w:p w14:paraId="3AC55C2F" w14:textId="77777777" w:rsidR="00031310" w:rsidRDefault="00EA4C4E" w:rsidP="004E4DCB">
      <w:pPr>
        <w:pStyle w:val="References"/>
        <w:jc w:val="both"/>
      </w:pPr>
      <w:r>
        <w:t>Mu, Q., Jones, L. A., Kimball, J. S., McDonald, K. C., and Running, S. W. (2009). Satellite assessment of land surface evapotranspiration for the pan‐Arctic domain. </w:t>
      </w:r>
      <w:r w:rsidRPr="00471F51">
        <w:rPr>
          <w:i/>
          <w:iCs/>
        </w:rPr>
        <w:t>Water Resources Research</w:t>
      </w:r>
      <w:r>
        <w:t>, 45(9).</w:t>
      </w:r>
    </w:p>
    <w:p w14:paraId="451BB82B" w14:textId="77777777" w:rsidR="00001DFB" w:rsidRDefault="00001DFB" w:rsidP="00001DFB">
      <w:pPr>
        <w:pStyle w:val="References"/>
        <w:jc w:val="both"/>
      </w:pPr>
      <w:r>
        <w:t>Zhang, K., Kimball, J. S., Mu, Q., Jones, L. A., Goetz, S. J., and Running, S. W. (2009). Satellite based analysis of northern ET trends and associated changes in the regional water balance from 1983 to 2005. </w:t>
      </w:r>
      <w:r w:rsidRPr="00471F51">
        <w:rPr>
          <w:i/>
          <w:iCs/>
        </w:rPr>
        <w:t>Journal of Hydrology</w:t>
      </w:r>
      <w:r>
        <w:t>, 379(1), 92-110.</w:t>
      </w:r>
    </w:p>
    <w:p w14:paraId="5F56F532" w14:textId="2B52D0B0" w:rsidR="00001DFB" w:rsidRDefault="00001DFB" w:rsidP="00001DFB">
      <w:pPr>
        <w:pStyle w:val="References"/>
        <w:jc w:val="both"/>
      </w:pPr>
      <w:r>
        <w:lastRenderedPageBreak/>
        <w:t xml:space="preserve">Jung, M., Reichstein, M., </w:t>
      </w:r>
      <w:proofErr w:type="spellStart"/>
      <w:r>
        <w:t>Ciais</w:t>
      </w:r>
      <w:proofErr w:type="spellEnd"/>
      <w:r>
        <w:t xml:space="preserve">, P., Seneviratne, S. I., Sheffield, J., </w:t>
      </w:r>
      <w:proofErr w:type="spellStart"/>
      <w:r>
        <w:t>Goulden</w:t>
      </w:r>
      <w:proofErr w:type="spellEnd"/>
      <w:r>
        <w:t>, M. L., ... and Dolman, A. J. (2010). Recent decline in the global land evapotranspiration trend due to limited moisture supply. </w:t>
      </w:r>
      <w:r w:rsidRPr="00471F51">
        <w:rPr>
          <w:i/>
          <w:iCs/>
        </w:rPr>
        <w:t>Nature</w:t>
      </w:r>
      <w:r>
        <w:t>, 467(7318), 951-954.</w:t>
      </w:r>
    </w:p>
    <w:p w14:paraId="406E38F0" w14:textId="77777777" w:rsidR="00031310" w:rsidRDefault="00EA4C4E" w:rsidP="004E4DCB">
      <w:pPr>
        <w:pStyle w:val="References"/>
        <w:jc w:val="both"/>
      </w:pPr>
      <w:r>
        <w:t>Mu, Q., Zhao, M., and Running, S. W. (2011). Improvements to a MODIS global terrestrial evapotranspiration algorithm. </w:t>
      </w:r>
      <w:r w:rsidRPr="00471F51">
        <w:rPr>
          <w:i/>
          <w:iCs/>
        </w:rPr>
        <w:t>Remote Sensing of Environment</w:t>
      </w:r>
      <w:r>
        <w:t>, 115(8), 1781-1800.</w:t>
      </w:r>
    </w:p>
    <w:p w14:paraId="5F8B1C10" w14:textId="77777777" w:rsidR="00031310" w:rsidRDefault="00EA4C4E" w:rsidP="004E4DCB">
      <w:pPr>
        <w:pStyle w:val="References"/>
        <w:jc w:val="both"/>
      </w:pPr>
      <w:r>
        <w:t>Mu, Q., Zhao, M., and Running, S. W. (2011). Evolution of hydrological and carbon cycles under a changing climate. </w:t>
      </w:r>
      <w:r w:rsidRPr="00471F51">
        <w:rPr>
          <w:i/>
          <w:iCs/>
        </w:rPr>
        <w:t>Hydrological Processes</w:t>
      </w:r>
      <w:r>
        <w:t>, 25(26), 4093-4102.</w:t>
      </w:r>
    </w:p>
    <w:p w14:paraId="76C07996" w14:textId="77777777" w:rsidR="00031310" w:rsidRDefault="00EA4C4E" w:rsidP="004E4DCB">
      <w:pPr>
        <w:pStyle w:val="References"/>
        <w:jc w:val="both"/>
      </w:pPr>
      <w:r>
        <w:t xml:space="preserve">Mu, Q., Zhao, M., &amp; Running, S. W. (2012). Remote Sensing and Modeling of Global Evapotranspiration. In Multiscale Hydrologic Remote Sensing: Perspectives and Applications (pp. 443-480), edited by Chang, N. B., Hong, Y., CRC Press. </w:t>
      </w:r>
    </w:p>
    <w:p w14:paraId="51055F49" w14:textId="77777777" w:rsidR="00031310" w:rsidRDefault="00EA4C4E" w:rsidP="004E4DCB">
      <w:pPr>
        <w:pStyle w:val="References"/>
        <w:jc w:val="both"/>
      </w:pPr>
      <w:r>
        <w:t xml:space="preserve">Mu, Q., Zhao M., Kimball J. S., McDowell N., and Running S. W., (2013) A Remotely Sensed Global Terrestrial Drought Severity Index, </w:t>
      </w:r>
      <w:r w:rsidRPr="00471F51">
        <w:rPr>
          <w:i/>
          <w:iCs/>
        </w:rPr>
        <w:t>Bulletin of the American Meteorological Society</w:t>
      </w:r>
      <w:r>
        <w:t>, 94: 83–98.</w:t>
      </w:r>
    </w:p>
    <w:p w14:paraId="70211393" w14:textId="77777777" w:rsidR="00031310" w:rsidRDefault="00EA4C4E" w:rsidP="004E4DCB">
      <w:pPr>
        <w:pStyle w:val="References"/>
        <w:jc w:val="both"/>
      </w:pPr>
      <w:proofErr w:type="spellStart"/>
      <w:r>
        <w:t>Ruhoff</w:t>
      </w:r>
      <w:proofErr w:type="spellEnd"/>
      <w:r>
        <w:t xml:space="preserve">, A. L., Paz, A. R., </w:t>
      </w:r>
      <w:proofErr w:type="spellStart"/>
      <w:r>
        <w:t>Aragao</w:t>
      </w:r>
      <w:proofErr w:type="spellEnd"/>
      <w:r>
        <w:t xml:space="preserve">, L. E. O. C., Mu, Q., Malhi, Y., </w:t>
      </w:r>
      <w:proofErr w:type="spellStart"/>
      <w:r>
        <w:t>Collischonn</w:t>
      </w:r>
      <w:proofErr w:type="spellEnd"/>
      <w:r>
        <w:t>, W., ... and Running, S. W. (2013). Assessment of the MODIS global evapotranspiration algorithm using eddy covariance measurements and hydrological modelling in the Rio Grande basin. </w:t>
      </w:r>
      <w:r w:rsidRPr="00471F51">
        <w:rPr>
          <w:i/>
          <w:iCs/>
        </w:rPr>
        <w:t>Hydrological Sciences Journal</w:t>
      </w:r>
      <w:r>
        <w:t>, 58(8), 1658-1676.</w:t>
      </w:r>
    </w:p>
    <w:p w14:paraId="3FF8DDAC" w14:textId="77777777" w:rsidR="00031310" w:rsidRDefault="00EA4C4E" w:rsidP="004E4DCB">
      <w:pPr>
        <w:pStyle w:val="References"/>
        <w:jc w:val="both"/>
      </w:pPr>
      <w:proofErr w:type="spellStart"/>
      <w:r>
        <w:t>Smettem</w:t>
      </w:r>
      <w:proofErr w:type="spellEnd"/>
      <w:r>
        <w:t>, K. R., Waring, R. H., Callow, J. N., Wilson, M., and Mu, Q. (2013). Satellite‐derived estimates of forest leaf area index in southwest Western Australia are not tightly coupled to interannual variations in rainfall: implications for groundwater decline in a drying climate. </w:t>
      </w:r>
      <w:r w:rsidRPr="00471F51">
        <w:rPr>
          <w:i/>
          <w:iCs/>
        </w:rPr>
        <w:t>Global Change Biology</w:t>
      </w:r>
      <w:r>
        <w:t>, 19(8), 2401-2412.</w:t>
      </w:r>
    </w:p>
    <w:p w14:paraId="445CCFC1" w14:textId="77777777" w:rsidR="00001DFB" w:rsidRDefault="00001DFB" w:rsidP="00001DFB">
      <w:pPr>
        <w:pStyle w:val="References"/>
        <w:jc w:val="both"/>
      </w:pPr>
      <w:r>
        <w:t xml:space="preserve">Yao, Y., Liang, S., Li, X., Hong, Y., Fisher, J. B., Zhang, N., ... and Jiang, B. (2014). Bayesian </w:t>
      </w:r>
      <w:proofErr w:type="spellStart"/>
      <w:r>
        <w:t>multimodel</w:t>
      </w:r>
      <w:proofErr w:type="spellEnd"/>
      <w:r>
        <w:t xml:space="preserve"> estimation of global terrestrial latent heat flux from eddy covariance, meteorological, and satellite observations. </w:t>
      </w:r>
      <w:r w:rsidRPr="00471F51">
        <w:rPr>
          <w:i/>
          <w:iCs/>
        </w:rPr>
        <w:t>Journal of Geophysical Research: Atmospheres</w:t>
      </w:r>
      <w:r>
        <w:t>, 119(8), 4521-4545.</w:t>
      </w:r>
    </w:p>
    <w:p w14:paraId="6A2B3681" w14:textId="6FBBF499" w:rsidR="00001DFB" w:rsidRDefault="00001DFB" w:rsidP="00001DFB">
      <w:pPr>
        <w:pStyle w:val="References"/>
        <w:jc w:val="both"/>
      </w:pPr>
      <w:r>
        <w:t>Chen, Y., J. Xia, S. Liang, J. Feng, J. B. Fisher, X. Li, X. Li et al. (2014) Comparison of satellite-based evapotranspiration models over terrestrial ecosystems in China. </w:t>
      </w:r>
      <w:r w:rsidRPr="00471F51">
        <w:rPr>
          <w:i/>
          <w:iCs/>
        </w:rPr>
        <w:t>Remote Sensing of Environment</w:t>
      </w:r>
      <w:r>
        <w:t> 140 (2014): 279-293.</w:t>
      </w:r>
    </w:p>
    <w:p w14:paraId="495CDF48" w14:textId="5C5577C0" w:rsidR="00031310" w:rsidRDefault="00EA4C4E" w:rsidP="004E4DCB">
      <w:pPr>
        <w:pStyle w:val="References"/>
        <w:jc w:val="both"/>
      </w:pPr>
      <w:r>
        <w:t xml:space="preserve">Wang, S., </w:t>
      </w:r>
      <w:r w:rsidR="00F27DD7">
        <w:t xml:space="preserve">M. </w:t>
      </w:r>
      <w:r>
        <w:t xml:space="preserve">Pan, </w:t>
      </w:r>
      <w:r w:rsidR="00F27DD7">
        <w:t xml:space="preserve">Q. </w:t>
      </w:r>
      <w:r>
        <w:t xml:space="preserve">Mu, </w:t>
      </w:r>
      <w:r w:rsidR="00F27DD7">
        <w:t xml:space="preserve">X. </w:t>
      </w:r>
      <w:r>
        <w:t xml:space="preserve">Shi, </w:t>
      </w:r>
      <w:r w:rsidR="00F27DD7">
        <w:t xml:space="preserve">J. </w:t>
      </w:r>
      <w:r>
        <w:t xml:space="preserve">Mao, </w:t>
      </w:r>
      <w:r w:rsidR="00F27DD7">
        <w:t xml:space="preserve">C. </w:t>
      </w:r>
      <w:proofErr w:type="spellStart"/>
      <w:r>
        <w:t>Brümmer</w:t>
      </w:r>
      <w:proofErr w:type="spellEnd"/>
      <w:r>
        <w:t xml:space="preserve">, ... and </w:t>
      </w:r>
      <w:r w:rsidR="00F27DD7">
        <w:t xml:space="preserve">T. A. </w:t>
      </w:r>
      <w:r>
        <w:t>Black (2015). Comparing Evapotranspiration from Eddy Covariance Measurements, Water Budgets, Remote Sensing, and Land Surface Models over Canada. </w:t>
      </w:r>
      <w:r w:rsidRPr="00471F51">
        <w:rPr>
          <w:i/>
          <w:iCs/>
        </w:rPr>
        <w:t>Journal of Hydrometeorology</w:t>
      </w:r>
      <w:r>
        <w:t>, 16(4), 1540-1560.</w:t>
      </w:r>
    </w:p>
    <w:p w14:paraId="2292CF30" w14:textId="232C14A7" w:rsidR="00471F51" w:rsidRDefault="00F27DD7" w:rsidP="004E4DCB">
      <w:pPr>
        <w:pStyle w:val="References"/>
        <w:jc w:val="both"/>
      </w:pPr>
      <w:r w:rsidRPr="00F27DD7">
        <w:t xml:space="preserve">Li, Y., </w:t>
      </w:r>
      <w:r>
        <w:t xml:space="preserve">M. </w:t>
      </w:r>
      <w:r w:rsidRPr="00F27DD7">
        <w:t xml:space="preserve">Zhao, </w:t>
      </w:r>
      <w:r>
        <w:t xml:space="preserve">S. </w:t>
      </w:r>
      <w:proofErr w:type="spellStart"/>
      <w:r w:rsidRPr="00F27DD7">
        <w:t>Motesharrei</w:t>
      </w:r>
      <w:proofErr w:type="spellEnd"/>
      <w:r w:rsidRPr="00F27DD7">
        <w:t xml:space="preserve">, </w:t>
      </w:r>
      <w:r>
        <w:t xml:space="preserve">Q. </w:t>
      </w:r>
      <w:r w:rsidRPr="00F27DD7">
        <w:t xml:space="preserve">Mu, </w:t>
      </w:r>
      <w:r>
        <w:t xml:space="preserve">E. </w:t>
      </w:r>
      <w:proofErr w:type="spellStart"/>
      <w:r w:rsidRPr="00F27DD7">
        <w:t>Kalnay</w:t>
      </w:r>
      <w:proofErr w:type="spellEnd"/>
      <w:r w:rsidRPr="00F27DD7">
        <w:t xml:space="preserve">, &amp; </w:t>
      </w:r>
      <w:r>
        <w:t xml:space="preserve">S. </w:t>
      </w:r>
      <w:r w:rsidRPr="00F27DD7">
        <w:t>Li (2015). Local cooling and warming effects of forests based on satellite observations. </w:t>
      </w:r>
      <w:r w:rsidRPr="00F27DD7">
        <w:rPr>
          <w:i/>
          <w:iCs/>
        </w:rPr>
        <w:t xml:space="preserve">Nature </w:t>
      </w:r>
      <w:r>
        <w:rPr>
          <w:i/>
          <w:iCs/>
        </w:rPr>
        <w:t>C</w:t>
      </w:r>
      <w:r w:rsidRPr="00F27DD7">
        <w:rPr>
          <w:i/>
          <w:iCs/>
        </w:rPr>
        <w:t>ommunications</w:t>
      </w:r>
      <w:r w:rsidRPr="00F27DD7">
        <w:t>, </w:t>
      </w:r>
      <w:r w:rsidRPr="00F27DD7">
        <w:rPr>
          <w:i/>
          <w:iCs/>
        </w:rPr>
        <w:t>6</w:t>
      </w:r>
      <w:r w:rsidRPr="00F27DD7">
        <w:t>(1), 6603.</w:t>
      </w:r>
    </w:p>
    <w:p w14:paraId="2B20A54C" w14:textId="62BC7CD5" w:rsidR="00F27DD7" w:rsidRDefault="00F27DD7" w:rsidP="004E4DCB">
      <w:pPr>
        <w:pStyle w:val="References"/>
        <w:jc w:val="both"/>
      </w:pPr>
      <w:r w:rsidRPr="00F27DD7">
        <w:t>Xia, Y., M. T.</w:t>
      </w:r>
      <w:r>
        <w:t xml:space="preserve"> </w:t>
      </w:r>
      <w:r w:rsidRPr="00F27DD7">
        <w:t xml:space="preserve">Hobbins, </w:t>
      </w:r>
      <w:r>
        <w:t xml:space="preserve">Q. </w:t>
      </w:r>
      <w:r w:rsidRPr="00F27DD7">
        <w:t xml:space="preserve">Mu, &amp; </w:t>
      </w:r>
      <w:r>
        <w:t xml:space="preserve">M. B. </w:t>
      </w:r>
      <w:r w:rsidRPr="00F27DD7">
        <w:t>Ek (2015). Evaluation of NLDAS‐2 evapotranspiration against tower flux site observations. </w:t>
      </w:r>
      <w:r w:rsidRPr="00F27DD7">
        <w:rPr>
          <w:i/>
          <w:iCs/>
        </w:rPr>
        <w:t xml:space="preserve">Hydrological </w:t>
      </w:r>
      <w:r>
        <w:rPr>
          <w:i/>
          <w:iCs/>
        </w:rPr>
        <w:t>P</w:t>
      </w:r>
      <w:r w:rsidRPr="00F27DD7">
        <w:rPr>
          <w:i/>
          <w:iCs/>
        </w:rPr>
        <w:t>rocesses</w:t>
      </w:r>
      <w:r w:rsidRPr="00F27DD7">
        <w:t>, </w:t>
      </w:r>
      <w:r w:rsidRPr="00F27DD7">
        <w:rPr>
          <w:i/>
          <w:iCs/>
        </w:rPr>
        <w:t>29</w:t>
      </w:r>
      <w:r w:rsidRPr="00F27DD7">
        <w:t>(7), 1757-1771</w:t>
      </w:r>
      <w:r>
        <w:t>.</w:t>
      </w:r>
    </w:p>
    <w:p w14:paraId="55EE6BAA" w14:textId="408E4EBD" w:rsidR="00F27DD7" w:rsidRDefault="00F27DD7" w:rsidP="004E4DCB">
      <w:pPr>
        <w:pStyle w:val="References"/>
        <w:jc w:val="both"/>
      </w:pPr>
      <w:r w:rsidRPr="00F27DD7">
        <w:t xml:space="preserve">Yao, Y., </w:t>
      </w:r>
      <w:r>
        <w:t xml:space="preserve">S. </w:t>
      </w:r>
      <w:r w:rsidRPr="00F27DD7">
        <w:t xml:space="preserve">Liang, </w:t>
      </w:r>
      <w:r>
        <w:t xml:space="preserve">X. </w:t>
      </w:r>
      <w:r w:rsidRPr="00F27DD7">
        <w:t xml:space="preserve">Li, </w:t>
      </w:r>
      <w:r>
        <w:t xml:space="preserve">J. </w:t>
      </w:r>
      <w:r w:rsidRPr="00F27DD7">
        <w:t xml:space="preserve">Chen, </w:t>
      </w:r>
      <w:r>
        <w:t xml:space="preserve">K. </w:t>
      </w:r>
      <w:r w:rsidRPr="00F27DD7">
        <w:t xml:space="preserve">Wang, </w:t>
      </w:r>
      <w:r>
        <w:t xml:space="preserve">K. </w:t>
      </w:r>
      <w:r w:rsidRPr="00F27DD7">
        <w:t xml:space="preserve">Jia, ... &amp; </w:t>
      </w:r>
      <w:r>
        <w:t xml:space="preserve">O. </w:t>
      </w:r>
      <w:proofErr w:type="spellStart"/>
      <w:r w:rsidRPr="00F27DD7">
        <w:t>Roupsard</w:t>
      </w:r>
      <w:proofErr w:type="spellEnd"/>
      <w:r w:rsidRPr="00F27DD7">
        <w:t xml:space="preserve"> (2015). A satellite-based hybrid algorithm to determine the Priestley–Taylor parameter for global terrestrial latent heat flux estimation across multiple biomes. </w:t>
      </w:r>
      <w:r w:rsidRPr="00F27DD7">
        <w:rPr>
          <w:i/>
          <w:iCs/>
        </w:rPr>
        <w:t>Remote Sensing of Environment</w:t>
      </w:r>
      <w:r w:rsidRPr="00F27DD7">
        <w:t>, </w:t>
      </w:r>
      <w:r w:rsidRPr="00F27DD7">
        <w:rPr>
          <w:i/>
          <w:iCs/>
        </w:rPr>
        <w:t>165</w:t>
      </w:r>
      <w:r w:rsidRPr="00F27DD7">
        <w:t>, 216-233.</w:t>
      </w:r>
    </w:p>
    <w:p w14:paraId="07F98E26" w14:textId="52558AC3" w:rsidR="00F27DD7" w:rsidRDefault="00F27DD7" w:rsidP="004E4DCB">
      <w:pPr>
        <w:pStyle w:val="References"/>
        <w:jc w:val="both"/>
      </w:pPr>
      <w:r w:rsidRPr="00F27DD7">
        <w:t xml:space="preserve">Michel, D., Jiménez, C., </w:t>
      </w:r>
      <w:proofErr w:type="spellStart"/>
      <w:r w:rsidRPr="00F27DD7">
        <w:t>Miralles</w:t>
      </w:r>
      <w:proofErr w:type="spellEnd"/>
      <w:r w:rsidRPr="00F27DD7">
        <w:t>, D. G., Jung, M., Hirschi, M., Ershadi, A., ... &amp; Fernández-Prieto, D. (2016). The WACMOS-ET project–Part 1: Tower-scale evaluation of four remote-sensing-based evapotranspiration algorithms. </w:t>
      </w:r>
      <w:r w:rsidRPr="00F27DD7">
        <w:rPr>
          <w:i/>
          <w:iCs/>
        </w:rPr>
        <w:t>Hydrology and Earth System Sciences</w:t>
      </w:r>
      <w:r w:rsidRPr="00F27DD7">
        <w:t>, </w:t>
      </w:r>
      <w:r w:rsidRPr="00F27DD7">
        <w:rPr>
          <w:i/>
          <w:iCs/>
        </w:rPr>
        <w:t>20</w:t>
      </w:r>
      <w:r w:rsidRPr="00F27DD7">
        <w:t>(2), 803-822.</w:t>
      </w:r>
    </w:p>
    <w:p w14:paraId="70A0EB5D" w14:textId="36EAAEAD" w:rsidR="00F27DD7" w:rsidRDefault="00F27DD7" w:rsidP="004E4DCB">
      <w:pPr>
        <w:pStyle w:val="References"/>
        <w:jc w:val="both"/>
      </w:pPr>
      <w:proofErr w:type="spellStart"/>
      <w:r w:rsidRPr="00F27DD7">
        <w:lastRenderedPageBreak/>
        <w:t>Miralles</w:t>
      </w:r>
      <w:proofErr w:type="spellEnd"/>
      <w:r w:rsidRPr="00F27DD7">
        <w:t>, D. G., Jiménez, C., Jung, M., Michel, D., Ershadi, A., McCabe, M. F., ... &amp; Fernández-Prieto, D. (2016). The WACMOS-ET project–Part 2: Evaluation of global terrestrial evaporation data sets. </w:t>
      </w:r>
      <w:r w:rsidRPr="00F27DD7">
        <w:rPr>
          <w:i/>
          <w:iCs/>
        </w:rPr>
        <w:t>Hydrology and Earth System Sciences</w:t>
      </w:r>
      <w:r w:rsidRPr="00F27DD7">
        <w:t>, </w:t>
      </w:r>
      <w:r w:rsidRPr="00F27DD7">
        <w:rPr>
          <w:i/>
          <w:iCs/>
        </w:rPr>
        <w:t>20</w:t>
      </w:r>
      <w:r w:rsidRPr="00F27DD7">
        <w:t>(2), 823-842.</w:t>
      </w:r>
    </w:p>
    <w:p w14:paraId="5B1E0C3D" w14:textId="1BFC2392" w:rsidR="00BA3EA0" w:rsidRDefault="00BA3EA0" w:rsidP="004E4DCB">
      <w:pPr>
        <w:pStyle w:val="References"/>
        <w:jc w:val="both"/>
      </w:pPr>
      <w:r w:rsidRPr="00BA3EA0">
        <w:t>Zhang, J., Mu, Q., &amp; Huang, J. (2016). Assessing the remotely sensed Drought Severity Index for agricultural drought monitoring and impact analysis in North China. </w:t>
      </w:r>
      <w:r w:rsidRPr="00BA3EA0">
        <w:rPr>
          <w:i/>
          <w:iCs/>
        </w:rPr>
        <w:t>Ecological Indicators</w:t>
      </w:r>
      <w:r w:rsidRPr="00BA3EA0">
        <w:t>, </w:t>
      </w:r>
      <w:r w:rsidRPr="00BA3EA0">
        <w:rPr>
          <w:i/>
          <w:iCs/>
        </w:rPr>
        <w:t>63</w:t>
      </w:r>
      <w:r w:rsidRPr="00BA3EA0">
        <w:t>, 296-309.</w:t>
      </w:r>
    </w:p>
    <w:p w14:paraId="07885653" w14:textId="77777777" w:rsidR="00D53B7F" w:rsidRDefault="00D53B7F" w:rsidP="00D53B7F">
      <w:pPr>
        <w:pStyle w:val="References"/>
        <w:jc w:val="both"/>
      </w:pPr>
      <w:r>
        <w:t xml:space="preserve">Zhang, K., J. S. Kimball, and S. W. Running. 2016. A review of remote sensing based actual evapotranspiration estimation. </w:t>
      </w:r>
      <w:r>
        <w:rPr>
          <w:i/>
        </w:rPr>
        <w:t>Wiley Interdisciplinary Reviews: Water</w:t>
      </w:r>
      <w:r>
        <w:t xml:space="preserve"> 3 (6):834–853.</w:t>
      </w:r>
    </w:p>
    <w:p w14:paraId="4A786C6B" w14:textId="36A69DD7" w:rsidR="00BA3EA0" w:rsidRDefault="00BA3EA0" w:rsidP="004E4DCB">
      <w:pPr>
        <w:pStyle w:val="References"/>
        <w:jc w:val="both"/>
      </w:pPr>
      <w:r w:rsidRPr="00BA3EA0">
        <w:t xml:space="preserve">Li, Y., Zhao, M., </w:t>
      </w:r>
      <w:proofErr w:type="spellStart"/>
      <w:r w:rsidRPr="00BA3EA0">
        <w:t>Mildrexler</w:t>
      </w:r>
      <w:proofErr w:type="spellEnd"/>
      <w:r w:rsidRPr="00BA3EA0">
        <w:t xml:space="preserve">, D. J., </w:t>
      </w:r>
      <w:proofErr w:type="spellStart"/>
      <w:r w:rsidRPr="00BA3EA0">
        <w:t>Motesharrei</w:t>
      </w:r>
      <w:proofErr w:type="spellEnd"/>
      <w:r w:rsidRPr="00BA3EA0">
        <w:t xml:space="preserve">, S., Mu, Q., </w:t>
      </w:r>
      <w:proofErr w:type="spellStart"/>
      <w:r w:rsidRPr="00BA3EA0">
        <w:t>Kalnay</w:t>
      </w:r>
      <w:proofErr w:type="spellEnd"/>
      <w:r w:rsidRPr="00BA3EA0">
        <w:t>, E., ... &amp; Wang, K. (2016). Potential and actual impacts of deforestation and afforestation on land surface temperature. </w:t>
      </w:r>
      <w:r w:rsidRPr="00BA3EA0">
        <w:rPr>
          <w:i/>
          <w:iCs/>
        </w:rPr>
        <w:t>Journal of Geophysical Research: Atmospheres</w:t>
      </w:r>
      <w:r w:rsidRPr="00BA3EA0">
        <w:t>, </w:t>
      </w:r>
      <w:r w:rsidRPr="00BA3EA0">
        <w:rPr>
          <w:i/>
          <w:iCs/>
        </w:rPr>
        <w:t>121</w:t>
      </w:r>
      <w:r w:rsidRPr="00BA3EA0">
        <w:t>(24), 14-372.</w:t>
      </w:r>
    </w:p>
    <w:p w14:paraId="56D31AB3" w14:textId="1DD0BC35" w:rsidR="00BA3EA0" w:rsidRDefault="00BA3EA0" w:rsidP="00BA3EA0">
      <w:pPr>
        <w:pStyle w:val="References"/>
        <w:jc w:val="both"/>
      </w:pPr>
      <w:r w:rsidRPr="00BA3EA0">
        <w:t xml:space="preserve">Choi, </w:t>
      </w:r>
      <w:r>
        <w:t xml:space="preserve">M., </w:t>
      </w:r>
      <w:r w:rsidRPr="00BA3EA0">
        <w:t xml:space="preserve">M. Mu, </w:t>
      </w:r>
      <w:r>
        <w:t>K.</w:t>
      </w:r>
      <w:r w:rsidRPr="00BA3EA0">
        <w:t xml:space="preserve"> Kim, </w:t>
      </w:r>
      <w:r>
        <w:t xml:space="preserve">K. </w:t>
      </w:r>
      <w:r w:rsidRPr="00BA3EA0">
        <w:t xml:space="preserve">Hwang, &amp; </w:t>
      </w:r>
      <w:r>
        <w:t xml:space="preserve">J. </w:t>
      </w:r>
      <w:r w:rsidRPr="00BA3EA0">
        <w:t>Hur (2017). Ecosystem-dynamics link to hydrologic variations for different land-cover types. </w:t>
      </w:r>
      <w:r w:rsidRPr="00BA3EA0">
        <w:rPr>
          <w:i/>
          <w:iCs/>
        </w:rPr>
        <w:t>Terrestrial Atmospheric and Oceanic Sciences</w:t>
      </w:r>
      <w:r w:rsidRPr="00BA3EA0">
        <w:t>, </w:t>
      </w:r>
      <w:r w:rsidRPr="00BA3EA0">
        <w:rPr>
          <w:i/>
          <w:iCs/>
        </w:rPr>
        <w:t>28</w:t>
      </w:r>
      <w:r w:rsidRPr="00BA3EA0">
        <w:t>(3), 437-462.</w:t>
      </w:r>
    </w:p>
    <w:p w14:paraId="1C002B62" w14:textId="36F2BF05" w:rsidR="00BA3EA0" w:rsidRDefault="00BA3EA0" w:rsidP="00BA3EA0">
      <w:pPr>
        <w:pStyle w:val="References"/>
        <w:jc w:val="both"/>
      </w:pPr>
      <w:r w:rsidRPr="00BA3EA0">
        <w:t xml:space="preserve">Yao, Y., </w:t>
      </w:r>
      <w:r>
        <w:t xml:space="preserve">S. </w:t>
      </w:r>
      <w:r w:rsidRPr="00BA3EA0">
        <w:t xml:space="preserve">Liang, </w:t>
      </w:r>
      <w:r>
        <w:t xml:space="preserve">X. </w:t>
      </w:r>
      <w:r w:rsidRPr="00BA3EA0">
        <w:t xml:space="preserve">Li, </w:t>
      </w:r>
      <w:r>
        <w:t xml:space="preserve">J. </w:t>
      </w:r>
      <w:r w:rsidRPr="00BA3EA0">
        <w:t xml:space="preserve">Chen, </w:t>
      </w:r>
      <w:r>
        <w:t xml:space="preserve">S. </w:t>
      </w:r>
      <w:r w:rsidRPr="00BA3EA0">
        <w:t xml:space="preserve">Liu, </w:t>
      </w:r>
      <w:r>
        <w:t xml:space="preserve">K. </w:t>
      </w:r>
      <w:r w:rsidRPr="00BA3EA0">
        <w:t xml:space="preserve">Jia, ... &amp; </w:t>
      </w:r>
      <w:r>
        <w:t xml:space="preserve">O. </w:t>
      </w:r>
      <w:proofErr w:type="spellStart"/>
      <w:r w:rsidRPr="00BA3EA0">
        <w:t>Roupsard</w:t>
      </w:r>
      <w:proofErr w:type="spellEnd"/>
      <w:r w:rsidRPr="00BA3EA0">
        <w:t xml:space="preserve"> (2017). Improving global terrestrial evapotranspiration estimation using support vector machine by integrating three process-based algorithms. </w:t>
      </w:r>
      <w:r w:rsidRPr="00BA3EA0">
        <w:rPr>
          <w:i/>
          <w:iCs/>
        </w:rPr>
        <w:t>Agricultural and Forest Meteorology</w:t>
      </w:r>
      <w:r w:rsidRPr="00BA3EA0">
        <w:t>, </w:t>
      </w:r>
      <w:r w:rsidRPr="00BA3EA0">
        <w:rPr>
          <w:i/>
          <w:iCs/>
        </w:rPr>
        <w:t>242</w:t>
      </w:r>
      <w:r w:rsidRPr="00BA3EA0">
        <w:t>, 55-74.</w:t>
      </w:r>
    </w:p>
    <w:p w14:paraId="7ED2FB04" w14:textId="3015AEA3" w:rsidR="00E76A5E" w:rsidRPr="00E76A5E" w:rsidRDefault="00E76A5E" w:rsidP="00E76A5E">
      <w:pPr>
        <w:pStyle w:val="PlainText"/>
        <w:ind w:hanging="720"/>
        <w:jc w:val="both"/>
        <w:rPr>
          <w:rFonts w:ascii="Times New Roman" w:hAnsi="Times New Roman" w:cs="Times New Roman"/>
          <w:bCs/>
          <w:sz w:val="24"/>
        </w:rPr>
      </w:pPr>
      <w:r w:rsidRPr="006F1356">
        <w:rPr>
          <w:rFonts w:ascii="Times New Roman" w:hAnsi="Times New Roman" w:cs="Times New Roman"/>
          <w:bCs/>
          <w:sz w:val="24"/>
        </w:rPr>
        <w:t>Román, M</w:t>
      </w:r>
      <w:r>
        <w:rPr>
          <w:rFonts w:ascii="Times New Roman" w:hAnsi="Times New Roman" w:cs="Times New Roman"/>
          <w:bCs/>
          <w:sz w:val="24"/>
        </w:rPr>
        <w:t>.</w:t>
      </w:r>
      <w:r w:rsidRPr="006F1356">
        <w:rPr>
          <w:rFonts w:ascii="Times New Roman" w:hAnsi="Times New Roman" w:cs="Times New Roman"/>
          <w:bCs/>
          <w:sz w:val="24"/>
        </w:rPr>
        <w:t xml:space="preserve"> O. et al. </w:t>
      </w:r>
      <w:r>
        <w:rPr>
          <w:rFonts w:ascii="Times New Roman" w:hAnsi="Times New Roman" w:cs="Times New Roman"/>
          <w:bCs/>
          <w:sz w:val="24"/>
        </w:rPr>
        <w:t xml:space="preserve">(2024) </w:t>
      </w:r>
      <w:r w:rsidRPr="006F1356">
        <w:rPr>
          <w:rFonts w:ascii="Times New Roman" w:hAnsi="Times New Roman" w:cs="Times New Roman"/>
          <w:bCs/>
          <w:sz w:val="24"/>
        </w:rPr>
        <w:t>Continuity between NASA MODIS Collection 6.1 and VIIRS Collection 2 land products. </w:t>
      </w:r>
      <w:r w:rsidRPr="006F1356">
        <w:rPr>
          <w:rFonts w:ascii="Times New Roman" w:hAnsi="Times New Roman" w:cs="Times New Roman"/>
          <w:bCs/>
          <w:i/>
          <w:iCs/>
          <w:sz w:val="24"/>
        </w:rPr>
        <w:t>Remote Sensing of Environment</w:t>
      </w:r>
      <w:r w:rsidRPr="006F1356">
        <w:rPr>
          <w:rFonts w:ascii="Times New Roman" w:hAnsi="Times New Roman" w:cs="Times New Roman"/>
          <w:bCs/>
          <w:sz w:val="24"/>
        </w:rPr>
        <w:t> 302: 113963.</w:t>
      </w:r>
    </w:p>
    <w:p w14:paraId="47F1A2D2" w14:textId="4F51B7CE" w:rsidR="00BA3EA0" w:rsidRDefault="00EA2043" w:rsidP="00BA3EA0">
      <w:pPr>
        <w:pStyle w:val="References"/>
        <w:jc w:val="both"/>
      </w:pPr>
      <w:r w:rsidRPr="00EA2043">
        <w:t xml:space="preserve">Endsley, K. A., M. Zhao, J. S. Kimball, T. </w:t>
      </w:r>
      <w:proofErr w:type="spellStart"/>
      <w:r w:rsidRPr="00EA2043">
        <w:t>Albrethsen</w:t>
      </w:r>
      <w:proofErr w:type="spellEnd"/>
      <w:r w:rsidRPr="00EA2043">
        <w:t xml:space="preserve">, S. </w:t>
      </w:r>
      <w:proofErr w:type="spellStart"/>
      <w:r w:rsidRPr="00EA2043">
        <w:t>Devadiga</w:t>
      </w:r>
      <w:proofErr w:type="spellEnd"/>
      <w:r>
        <w:t xml:space="preserve"> (2024)</w:t>
      </w:r>
      <w:r w:rsidRPr="00EA2043">
        <w:t xml:space="preserve"> Improved global estimates of terrestrial evapotranspiration using the MODIS and VIIRS sensors</w:t>
      </w:r>
      <w:r>
        <w:t xml:space="preserve">. </w:t>
      </w:r>
      <w:r w:rsidRPr="00471F51">
        <w:rPr>
          <w:i/>
          <w:iCs/>
        </w:rPr>
        <w:t>Journal of Hydrometeorology</w:t>
      </w:r>
      <w:r>
        <w:rPr>
          <w:i/>
          <w:iCs/>
        </w:rPr>
        <w:t xml:space="preserve">, </w:t>
      </w:r>
      <w:r w:rsidRPr="00EA2043">
        <w:t>(in preparation)</w:t>
      </w:r>
      <w:r>
        <w:rPr>
          <w:i/>
          <w:iCs/>
        </w:rPr>
        <w:t>.</w:t>
      </w:r>
    </w:p>
    <w:p w14:paraId="1DF85A31" w14:textId="77777777" w:rsidR="00D53B7F" w:rsidRDefault="00D53B7F" w:rsidP="00BA3EA0">
      <w:pPr>
        <w:pStyle w:val="References"/>
        <w:jc w:val="both"/>
      </w:pPr>
    </w:p>
    <w:p w14:paraId="16612C46" w14:textId="77777777" w:rsidR="00E117F3" w:rsidRDefault="00E117F3" w:rsidP="00BA3EA0">
      <w:pPr>
        <w:pStyle w:val="References"/>
        <w:jc w:val="both"/>
      </w:pPr>
    </w:p>
    <w:p w14:paraId="083B89AE" w14:textId="77777777" w:rsidR="00E117F3" w:rsidRDefault="00E117F3" w:rsidP="00BA3EA0">
      <w:pPr>
        <w:pStyle w:val="References"/>
        <w:jc w:val="both"/>
      </w:pPr>
    </w:p>
    <w:p w14:paraId="5C2B691B" w14:textId="77777777" w:rsidR="00E117F3" w:rsidRDefault="00E117F3" w:rsidP="00BA3EA0">
      <w:pPr>
        <w:pStyle w:val="References"/>
        <w:jc w:val="both"/>
      </w:pPr>
    </w:p>
    <w:p w14:paraId="383CA1CD" w14:textId="77777777" w:rsidR="00E117F3" w:rsidRDefault="00E117F3" w:rsidP="00BA3EA0">
      <w:pPr>
        <w:pStyle w:val="References"/>
        <w:jc w:val="both"/>
      </w:pPr>
    </w:p>
    <w:p w14:paraId="7716AF83" w14:textId="77777777" w:rsidR="00E117F3" w:rsidRDefault="00E117F3" w:rsidP="00BA3EA0">
      <w:pPr>
        <w:pStyle w:val="References"/>
        <w:jc w:val="both"/>
      </w:pPr>
    </w:p>
    <w:p w14:paraId="1F052076" w14:textId="77777777" w:rsidR="00E117F3" w:rsidRDefault="00E117F3" w:rsidP="00BA3EA0">
      <w:pPr>
        <w:pStyle w:val="References"/>
        <w:jc w:val="both"/>
      </w:pPr>
    </w:p>
    <w:p w14:paraId="7D1EC713" w14:textId="77777777" w:rsidR="00E117F3" w:rsidRDefault="00E117F3" w:rsidP="00BA3EA0">
      <w:pPr>
        <w:pStyle w:val="References"/>
        <w:jc w:val="both"/>
      </w:pPr>
    </w:p>
    <w:p w14:paraId="3896D78F" w14:textId="77777777" w:rsidR="00E117F3" w:rsidRDefault="00E117F3" w:rsidP="00BA3EA0">
      <w:pPr>
        <w:pStyle w:val="References"/>
        <w:jc w:val="both"/>
      </w:pPr>
    </w:p>
    <w:p w14:paraId="41894E99" w14:textId="77777777" w:rsidR="00E117F3" w:rsidRDefault="00E117F3" w:rsidP="00BA3EA0">
      <w:pPr>
        <w:pStyle w:val="References"/>
        <w:jc w:val="both"/>
      </w:pPr>
    </w:p>
    <w:p w14:paraId="4BBCED66" w14:textId="77777777" w:rsidR="00E117F3" w:rsidRDefault="00E117F3" w:rsidP="00BA3EA0">
      <w:pPr>
        <w:pStyle w:val="References"/>
        <w:jc w:val="both"/>
      </w:pPr>
    </w:p>
    <w:p w14:paraId="661EB93C" w14:textId="77777777" w:rsidR="00E117F3" w:rsidRDefault="00E117F3" w:rsidP="00BA3EA0">
      <w:pPr>
        <w:pStyle w:val="References"/>
        <w:jc w:val="both"/>
      </w:pPr>
    </w:p>
    <w:p w14:paraId="14567385" w14:textId="77777777" w:rsidR="00E117F3" w:rsidRDefault="00E117F3" w:rsidP="00BA3EA0">
      <w:pPr>
        <w:pStyle w:val="References"/>
        <w:jc w:val="both"/>
      </w:pPr>
    </w:p>
    <w:p w14:paraId="64ECAE57" w14:textId="77777777" w:rsidR="00E117F3" w:rsidRDefault="00E117F3" w:rsidP="00BA3EA0">
      <w:pPr>
        <w:pStyle w:val="References"/>
        <w:jc w:val="both"/>
      </w:pPr>
    </w:p>
    <w:p w14:paraId="19CF4194" w14:textId="77777777" w:rsidR="00E117F3" w:rsidRDefault="00E117F3" w:rsidP="00BA3EA0">
      <w:pPr>
        <w:pStyle w:val="References"/>
        <w:jc w:val="both"/>
      </w:pPr>
    </w:p>
    <w:p w14:paraId="69AE0464" w14:textId="77777777" w:rsidR="00E117F3" w:rsidRDefault="00E117F3" w:rsidP="00BA3EA0">
      <w:pPr>
        <w:pStyle w:val="References"/>
        <w:jc w:val="both"/>
      </w:pPr>
    </w:p>
    <w:p w14:paraId="0937CF5E" w14:textId="77777777" w:rsidR="00E117F3" w:rsidRDefault="00E117F3" w:rsidP="00BA3EA0">
      <w:pPr>
        <w:pStyle w:val="References"/>
        <w:jc w:val="both"/>
      </w:pPr>
    </w:p>
    <w:p w14:paraId="5076EAFE" w14:textId="77777777" w:rsidR="00E117F3" w:rsidRDefault="00E117F3" w:rsidP="00BA3EA0">
      <w:pPr>
        <w:pStyle w:val="References"/>
        <w:jc w:val="both"/>
      </w:pPr>
    </w:p>
    <w:p w14:paraId="54BDA70D" w14:textId="20F71B69" w:rsidR="00031310" w:rsidRDefault="00EA4C4E" w:rsidP="004E4DCB">
      <w:pPr>
        <w:pStyle w:val="Heading1"/>
        <w:jc w:val="both"/>
      </w:pPr>
      <w:bookmarkStart w:id="85" w:name="_Toc181041704"/>
      <w:r>
        <w:lastRenderedPageBreak/>
        <w:t>7</w:t>
      </w:r>
      <w:r w:rsidR="00742BD2">
        <w:t>.</w:t>
      </w:r>
      <w:r>
        <w:t xml:space="preserve"> </w:t>
      </w:r>
      <w:bookmarkStart w:id="86" w:name="references"/>
      <w:r>
        <w:t>References</w:t>
      </w:r>
      <w:bookmarkEnd w:id="85"/>
      <w:bookmarkEnd w:id="86"/>
    </w:p>
    <w:p w14:paraId="0F11C2E3" w14:textId="421BA272" w:rsidR="005522AF" w:rsidRDefault="005522AF" w:rsidP="004E4DCB">
      <w:pPr>
        <w:pStyle w:val="PlainText"/>
        <w:adjustRightInd w:val="0"/>
        <w:snapToGrid w:val="0"/>
        <w:ind w:hangingChars="300" w:hanging="720"/>
        <w:jc w:val="both"/>
        <w:rPr>
          <w:rFonts w:ascii="Times New Roman" w:hAnsi="Times New Roman" w:cs="Times New Roman"/>
          <w:bCs/>
          <w:sz w:val="24"/>
        </w:rPr>
      </w:pPr>
      <w:r w:rsidRPr="00425C93">
        <w:rPr>
          <w:rFonts w:ascii="Times New Roman" w:hAnsi="Times New Roman" w:cs="Times New Roman"/>
          <w:bCs/>
          <w:sz w:val="24"/>
        </w:rPr>
        <w:t xml:space="preserve">Abbott, P. F., and R. C. </w:t>
      </w:r>
      <w:proofErr w:type="spellStart"/>
      <w:r w:rsidRPr="00425C93">
        <w:rPr>
          <w:rFonts w:ascii="Times New Roman" w:hAnsi="Times New Roman" w:cs="Times New Roman"/>
          <w:bCs/>
          <w:sz w:val="24"/>
        </w:rPr>
        <w:t>Tabony</w:t>
      </w:r>
      <w:proofErr w:type="spellEnd"/>
      <w:r>
        <w:rPr>
          <w:rFonts w:ascii="Times New Roman" w:hAnsi="Times New Roman" w:cs="Times New Roman"/>
          <w:bCs/>
          <w:sz w:val="24"/>
        </w:rPr>
        <w:t xml:space="preserve"> (1985).</w:t>
      </w:r>
      <w:r w:rsidRPr="00425C93">
        <w:rPr>
          <w:rFonts w:ascii="Times New Roman" w:hAnsi="Times New Roman" w:cs="Times New Roman"/>
          <w:bCs/>
          <w:sz w:val="24"/>
        </w:rPr>
        <w:t xml:space="preserve"> The estimation of humidity parameters. </w:t>
      </w:r>
      <w:r w:rsidRPr="00425C93">
        <w:rPr>
          <w:rFonts w:ascii="Times New Roman" w:hAnsi="Times New Roman" w:cs="Times New Roman"/>
          <w:bCs/>
          <w:i/>
          <w:iCs/>
          <w:sz w:val="24"/>
        </w:rPr>
        <w:t>Meteorological Magazine</w:t>
      </w:r>
      <w:r w:rsidRPr="00425C93">
        <w:rPr>
          <w:rFonts w:ascii="Times New Roman" w:hAnsi="Times New Roman" w:cs="Times New Roman"/>
          <w:bCs/>
          <w:sz w:val="24"/>
        </w:rPr>
        <w:t> 114: 49-56.</w:t>
      </w:r>
    </w:p>
    <w:p w14:paraId="4B2FFA2B" w14:textId="382CD859" w:rsidR="006F6014" w:rsidRPr="004E4DCB" w:rsidRDefault="006F6014" w:rsidP="004E4DCB">
      <w:pPr>
        <w:pStyle w:val="PlainText"/>
        <w:adjustRightInd w:val="0"/>
        <w:snapToGrid w:val="0"/>
        <w:ind w:hangingChars="300" w:hanging="720"/>
        <w:jc w:val="both"/>
        <w:rPr>
          <w:rFonts w:cs="Times New Roman"/>
          <w:sz w:val="24"/>
        </w:rPr>
      </w:pPr>
      <w:proofErr w:type="spellStart"/>
      <w:r w:rsidRPr="004E4DCB">
        <w:rPr>
          <w:rFonts w:ascii="Times New Roman" w:hAnsi="Times New Roman" w:cs="Times New Roman"/>
          <w:bCs/>
          <w:sz w:val="24"/>
        </w:rPr>
        <w:t>Alduchov</w:t>
      </w:r>
      <w:proofErr w:type="spellEnd"/>
      <w:r w:rsidRPr="004E4DCB">
        <w:rPr>
          <w:rFonts w:ascii="Times New Roman" w:hAnsi="Times New Roman" w:cs="Times New Roman"/>
          <w:bCs/>
          <w:sz w:val="24"/>
        </w:rPr>
        <w:t>, O</w:t>
      </w:r>
      <w:r>
        <w:rPr>
          <w:rFonts w:ascii="Times New Roman" w:hAnsi="Times New Roman" w:cs="Times New Roman"/>
          <w:bCs/>
          <w:sz w:val="24"/>
        </w:rPr>
        <w:t>.</w:t>
      </w:r>
      <w:r w:rsidRPr="004E4DCB">
        <w:rPr>
          <w:rFonts w:ascii="Times New Roman" w:hAnsi="Times New Roman" w:cs="Times New Roman"/>
          <w:bCs/>
          <w:sz w:val="24"/>
        </w:rPr>
        <w:t xml:space="preserve"> A., and R</w:t>
      </w:r>
      <w:r>
        <w:rPr>
          <w:rFonts w:ascii="Times New Roman" w:hAnsi="Times New Roman" w:cs="Times New Roman"/>
          <w:bCs/>
          <w:sz w:val="24"/>
        </w:rPr>
        <w:t>.</w:t>
      </w:r>
      <w:r w:rsidRPr="004E4DCB">
        <w:rPr>
          <w:rFonts w:ascii="Times New Roman" w:hAnsi="Times New Roman" w:cs="Times New Roman"/>
          <w:bCs/>
          <w:sz w:val="24"/>
        </w:rPr>
        <w:t xml:space="preserve"> E. Eskridge</w:t>
      </w:r>
      <w:r w:rsidR="0031701B">
        <w:rPr>
          <w:rFonts w:ascii="Times New Roman" w:hAnsi="Times New Roman" w:cs="Times New Roman"/>
          <w:bCs/>
          <w:sz w:val="24"/>
        </w:rPr>
        <w:t xml:space="preserve"> (1996).</w:t>
      </w:r>
      <w:r w:rsidRPr="004E4DCB">
        <w:rPr>
          <w:rFonts w:ascii="Times New Roman" w:hAnsi="Times New Roman" w:cs="Times New Roman"/>
          <w:bCs/>
          <w:sz w:val="24"/>
        </w:rPr>
        <w:t xml:space="preserve"> Improved Magnus form approximation of saturation vapor pressure. </w:t>
      </w:r>
      <w:r w:rsidRPr="004E4DCB">
        <w:rPr>
          <w:rFonts w:ascii="Times New Roman" w:hAnsi="Times New Roman" w:cs="Times New Roman"/>
          <w:bCs/>
          <w:i/>
          <w:iCs/>
          <w:sz w:val="24"/>
        </w:rPr>
        <w:t>Journal of Applied Meteorology</w:t>
      </w:r>
      <w:r w:rsidRPr="004E4DCB">
        <w:rPr>
          <w:rFonts w:ascii="Times New Roman" w:hAnsi="Times New Roman" w:cs="Times New Roman"/>
          <w:bCs/>
          <w:sz w:val="24"/>
        </w:rPr>
        <w:t xml:space="preserve"> (1988-2005)</w:t>
      </w:r>
      <w:r w:rsidR="0031701B">
        <w:rPr>
          <w:rFonts w:ascii="Times New Roman" w:hAnsi="Times New Roman" w:cs="Times New Roman"/>
          <w:bCs/>
          <w:sz w:val="24"/>
        </w:rPr>
        <w:t>.</w:t>
      </w:r>
      <w:r w:rsidRPr="004E4DCB">
        <w:rPr>
          <w:rFonts w:ascii="Times New Roman" w:hAnsi="Times New Roman" w:cs="Times New Roman"/>
          <w:bCs/>
          <w:sz w:val="24"/>
        </w:rPr>
        <w:t> 1996: 601-609.</w:t>
      </w:r>
    </w:p>
    <w:p w14:paraId="0ABE7505" w14:textId="77777777" w:rsidR="00031310" w:rsidRDefault="00EA4C4E" w:rsidP="004E4DCB">
      <w:pPr>
        <w:pStyle w:val="References"/>
        <w:jc w:val="both"/>
      </w:pPr>
      <w:proofErr w:type="spellStart"/>
      <w:r>
        <w:t>Belward</w:t>
      </w:r>
      <w:proofErr w:type="spellEnd"/>
      <w:r>
        <w:t xml:space="preserve">, A. S., Estes, J. E., and Kline, K. D. 1999. The IGBP-DIS global 1-km land-cover data set </w:t>
      </w:r>
      <w:proofErr w:type="spellStart"/>
      <w:r>
        <w:t>DISCover</w:t>
      </w:r>
      <w:proofErr w:type="spellEnd"/>
      <w:r>
        <w:t xml:space="preserve">: A project overview. </w:t>
      </w:r>
      <w:r>
        <w:rPr>
          <w:i/>
        </w:rPr>
        <w:t>Photogrammetric Engineering and Remote Sensing.</w:t>
      </w:r>
      <w:r>
        <w:t xml:space="preserve"> 65(9):1013-1020.</w:t>
      </w:r>
    </w:p>
    <w:p w14:paraId="479BFC62" w14:textId="77777777" w:rsidR="00031310" w:rsidRDefault="00EA4C4E" w:rsidP="004E4DCB">
      <w:pPr>
        <w:pStyle w:val="References"/>
        <w:jc w:val="both"/>
      </w:pPr>
      <w:r>
        <w:t xml:space="preserve">Cleugh, H. A., </w:t>
      </w:r>
      <w:proofErr w:type="spellStart"/>
      <w:r>
        <w:t>Leuning</w:t>
      </w:r>
      <w:proofErr w:type="spellEnd"/>
      <w:r>
        <w:t xml:space="preserve">, R., Mu, Q., and Running, S. W. 2007. Regional evaporation estimates from flux tower and MODIS satellite data. </w:t>
      </w:r>
      <w:r>
        <w:rPr>
          <w:i/>
        </w:rPr>
        <w:t>Remote Sensing of Environment.</w:t>
      </w:r>
      <w:r>
        <w:t xml:space="preserve"> 106(3):285-304.</w:t>
      </w:r>
    </w:p>
    <w:p w14:paraId="462E24F3" w14:textId="77777777" w:rsidR="00031310" w:rsidRDefault="00EA4C4E" w:rsidP="004E4DCB">
      <w:pPr>
        <w:pStyle w:val="References"/>
        <w:jc w:val="both"/>
      </w:pPr>
      <w:r>
        <w:t xml:space="preserve">Du, J., J. S. Kimball, J. Sheffield, I. </w:t>
      </w:r>
      <w:proofErr w:type="spellStart"/>
      <w:r>
        <w:t>Velicogna</w:t>
      </w:r>
      <w:proofErr w:type="spellEnd"/>
      <w:r>
        <w:t xml:space="preserve">, M. Zhao, M. Pan, C. K. Fisher, H. E. Beck, J. D. Watts, G. A, and E. F. Wood. 2021. Synergistic Satellite Assessment of Global Vegetation Health in Relation to ENSO‐Induced Droughts and </w:t>
      </w:r>
      <w:proofErr w:type="spellStart"/>
      <w:r>
        <w:t>Pluvials</w:t>
      </w:r>
      <w:proofErr w:type="spellEnd"/>
      <w:r>
        <w:t xml:space="preserve">. </w:t>
      </w:r>
      <w:r>
        <w:rPr>
          <w:i/>
        </w:rPr>
        <w:t xml:space="preserve">Journal of Geophysical Research: </w:t>
      </w:r>
      <w:proofErr w:type="spellStart"/>
      <w:r>
        <w:rPr>
          <w:i/>
        </w:rPr>
        <w:t>Biogeosciences</w:t>
      </w:r>
      <w:proofErr w:type="spellEnd"/>
      <w:r>
        <w:t xml:space="preserve"> 126 (5).</w:t>
      </w:r>
    </w:p>
    <w:p w14:paraId="55F413C4" w14:textId="6C409DC1" w:rsidR="00EA2043" w:rsidRDefault="00EA2043" w:rsidP="00EA2043">
      <w:pPr>
        <w:pStyle w:val="References"/>
        <w:jc w:val="both"/>
      </w:pPr>
      <w:r w:rsidRPr="00EA2043">
        <w:t xml:space="preserve">Endsley, K. A., M. Zhao, J. S. Kimball, T. </w:t>
      </w:r>
      <w:proofErr w:type="spellStart"/>
      <w:r w:rsidRPr="00EA2043">
        <w:t>Albrethsen</w:t>
      </w:r>
      <w:proofErr w:type="spellEnd"/>
      <w:r w:rsidRPr="00EA2043">
        <w:t xml:space="preserve">, S. </w:t>
      </w:r>
      <w:proofErr w:type="spellStart"/>
      <w:r w:rsidRPr="00EA2043">
        <w:t>Devadiga</w:t>
      </w:r>
      <w:proofErr w:type="spellEnd"/>
      <w:r>
        <w:t xml:space="preserve"> (2024)</w:t>
      </w:r>
      <w:r w:rsidRPr="00EA2043">
        <w:t xml:space="preserve"> Improved global estimates of terrestrial evapotranspiration using the MODIS and VIIRS sensors</w:t>
      </w:r>
      <w:r>
        <w:t xml:space="preserve">. </w:t>
      </w:r>
      <w:r w:rsidRPr="00471F51">
        <w:rPr>
          <w:i/>
          <w:iCs/>
        </w:rPr>
        <w:t>Journal of Hydrometeorology</w:t>
      </w:r>
      <w:r>
        <w:rPr>
          <w:i/>
          <w:iCs/>
        </w:rPr>
        <w:t xml:space="preserve">, </w:t>
      </w:r>
      <w:r w:rsidRPr="00EA2043">
        <w:t>(in preparation)</w:t>
      </w:r>
      <w:r>
        <w:rPr>
          <w:i/>
          <w:iCs/>
        </w:rPr>
        <w:t>.</w:t>
      </w:r>
    </w:p>
    <w:p w14:paraId="734C66F3" w14:textId="77777777" w:rsidR="00031310" w:rsidRDefault="00EA4C4E" w:rsidP="004E4DCB">
      <w:pPr>
        <w:pStyle w:val="References"/>
        <w:jc w:val="both"/>
      </w:pPr>
      <w:r>
        <w:t xml:space="preserve">Fisher, J. B., Tu, K., and </w:t>
      </w:r>
      <w:proofErr w:type="spellStart"/>
      <w:r>
        <w:t>Baldocchi</w:t>
      </w:r>
      <w:proofErr w:type="spellEnd"/>
      <w:r>
        <w:t xml:space="preserve">, D. D. 2008. Global estimates of the land atmosphere water flux based on monthly AVHRR and ISLSCP-II data, validated at FLUXNET sites. </w:t>
      </w:r>
      <w:r>
        <w:rPr>
          <w:i/>
        </w:rPr>
        <w:t>Remote Sensing of Environment.</w:t>
      </w:r>
      <w:r>
        <w:t xml:space="preserve"> 112(3):901−919.</w:t>
      </w:r>
    </w:p>
    <w:p w14:paraId="55166EF6" w14:textId="77777777" w:rsidR="00031310" w:rsidRDefault="00EA4C4E" w:rsidP="004E4DCB">
      <w:pPr>
        <w:pStyle w:val="References"/>
        <w:jc w:val="both"/>
      </w:pPr>
      <w:proofErr w:type="spellStart"/>
      <w:r>
        <w:t>Friedl</w:t>
      </w:r>
      <w:proofErr w:type="spellEnd"/>
      <w:r>
        <w:t xml:space="preserve">, M. A., Sulla-Menashe, D., Tan, B., Schneider, A., </w:t>
      </w:r>
      <w:proofErr w:type="spellStart"/>
      <w:r>
        <w:t>Ramankutty</w:t>
      </w:r>
      <w:proofErr w:type="spellEnd"/>
      <w:r>
        <w:t xml:space="preserve">, N., Sibley, A., and Huang, X. 2010. MODIS Collection 5 global land cover: Algorithm refinements and characterization of new datasets. </w:t>
      </w:r>
      <w:r>
        <w:rPr>
          <w:i/>
        </w:rPr>
        <w:t>Remote Sensing of Environment.</w:t>
      </w:r>
      <w:r>
        <w:t xml:space="preserve"> 114(1):168-182.</w:t>
      </w:r>
    </w:p>
    <w:p w14:paraId="58ABC8C7" w14:textId="77777777" w:rsidR="00031310" w:rsidRDefault="00EA4C4E" w:rsidP="004E4DCB">
      <w:pPr>
        <w:pStyle w:val="References"/>
        <w:jc w:val="both"/>
      </w:pPr>
      <w:r>
        <w:t>Gates, D. M. 1980. Biophysical Ecology. Springer Advanced Texts in Life Sciences. Springer New York, NY.</w:t>
      </w:r>
    </w:p>
    <w:p w14:paraId="51426C55" w14:textId="77777777" w:rsidR="00031310" w:rsidRDefault="00EA4C4E" w:rsidP="004E4DCB">
      <w:pPr>
        <w:pStyle w:val="References"/>
        <w:jc w:val="both"/>
      </w:pPr>
      <w:proofErr w:type="spellStart"/>
      <w:r>
        <w:t>Iribane</w:t>
      </w:r>
      <w:proofErr w:type="spellEnd"/>
      <w:r>
        <w:t xml:space="preserve">, J.V., and W.L. Godson, 1981. Atmospheric Thermodynamics. 2nd Edition. D. </w:t>
      </w:r>
      <w:proofErr w:type="spellStart"/>
      <w:r>
        <w:t>Reidel</w:t>
      </w:r>
      <w:proofErr w:type="spellEnd"/>
      <w:r>
        <w:t xml:space="preserve"> Publishing Company, Dordrecht, The Netherlands.</w:t>
      </w:r>
    </w:p>
    <w:p w14:paraId="7C42E43F" w14:textId="77777777" w:rsidR="00031310" w:rsidRDefault="00EA4C4E" w:rsidP="004E4DCB">
      <w:pPr>
        <w:pStyle w:val="References"/>
        <w:jc w:val="both"/>
      </w:pPr>
      <w:r>
        <w:t xml:space="preserve">Jacobsen, A. and B. U. Hansen. 1999. Estimation of the soil heat flux/net radiation ratio based on spectral vegetation indexes in high-latitude Arctic areas. </w:t>
      </w:r>
      <w:r>
        <w:rPr>
          <w:i/>
        </w:rPr>
        <w:t>International Journal of Remote Sensing.</w:t>
      </w:r>
      <w:r>
        <w:t xml:space="preserve"> 20(2):445-461.</w:t>
      </w:r>
    </w:p>
    <w:p w14:paraId="2D3B5041" w14:textId="77777777" w:rsidR="00031310" w:rsidRDefault="00EA4C4E" w:rsidP="004E4DCB">
      <w:pPr>
        <w:pStyle w:val="References"/>
        <w:jc w:val="both"/>
      </w:pPr>
      <w:r>
        <w:t xml:space="preserve">Jarvis, P. G. 1976. The interpretation of the variations in leaf water potential and stomatal conductance found in canopies in the field. </w:t>
      </w:r>
      <w:r>
        <w:rPr>
          <w:i/>
        </w:rPr>
        <w:t>Philosophical Transactions of the Royal Society of London B: Biological Sciences.</w:t>
      </w:r>
      <w:r>
        <w:t xml:space="preserve"> 273(927):593-610.</w:t>
      </w:r>
    </w:p>
    <w:p w14:paraId="5782A1C2" w14:textId="77777777" w:rsidR="00031310" w:rsidRDefault="00EA4C4E" w:rsidP="004E4DCB">
      <w:pPr>
        <w:pStyle w:val="References"/>
        <w:jc w:val="both"/>
      </w:pPr>
      <w:r>
        <w:t xml:space="preserve">Keeling, C. D., Whorf, T. P., </w:t>
      </w:r>
      <w:proofErr w:type="spellStart"/>
      <w:r>
        <w:t>Wahlen</w:t>
      </w:r>
      <w:proofErr w:type="spellEnd"/>
      <w:r>
        <w:t xml:space="preserve">, M., and Van der </w:t>
      </w:r>
      <w:proofErr w:type="spellStart"/>
      <w:r>
        <w:t>Plichtt</w:t>
      </w:r>
      <w:proofErr w:type="spellEnd"/>
      <w:r>
        <w:t xml:space="preserve">, J. 1995. Interannual extremes in the rate of rise of atmospheric carbon dioxide since 1980. </w:t>
      </w:r>
      <w:r>
        <w:rPr>
          <w:i/>
        </w:rPr>
        <w:t>Nature.</w:t>
      </w:r>
      <w:r>
        <w:t xml:space="preserve"> 375(6533):666-670.</w:t>
      </w:r>
    </w:p>
    <w:p w14:paraId="498468A4" w14:textId="77777777" w:rsidR="00031310" w:rsidRDefault="00EA4C4E" w:rsidP="004E4DCB">
      <w:pPr>
        <w:pStyle w:val="References"/>
        <w:jc w:val="both"/>
      </w:pPr>
      <w:r>
        <w:t xml:space="preserve">Los, S. O., Pollack, N. H., Parris, M. T., </w:t>
      </w:r>
      <w:proofErr w:type="spellStart"/>
      <w:r>
        <w:t>Collatz</w:t>
      </w:r>
      <w:proofErr w:type="spellEnd"/>
      <w:r>
        <w:t xml:space="preserve">, G. J., Tucker, C. J., Sellers, P. J., ... and </w:t>
      </w:r>
      <w:proofErr w:type="spellStart"/>
      <w:r>
        <w:t>Dazlich</w:t>
      </w:r>
      <w:proofErr w:type="spellEnd"/>
      <w:r>
        <w:t xml:space="preserve">, D. A. 2000. A global 9-yr biophysical land surface dataset from NOAA AVHRR data. </w:t>
      </w:r>
      <w:r>
        <w:rPr>
          <w:i/>
        </w:rPr>
        <w:t>Journal of Hydrometeorology.</w:t>
      </w:r>
      <w:r>
        <w:t xml:space="preserve"> 1(2):183-199.</w:t>
      </w:r>
    </w:p>
    <w:p w14:paraId="77AF3B42" w14:textId="77777777" w:rsidR="00031310" w:rsidRDefault="00EA4C4E" w:rsidP="004E4DCB">
      <w:pPr>
        <w:pStyle w:val="References"/>
        <w:jc w:val="both"/>
      </w:pPr>
      <w:r>
        <w:t>Maidment, D. 1969. Handbook of Hydrology.</w:t>
      </w:r>
    </w:p>
    <w:p w14:paraId="18815175" w14:textId="77777777" w:rsidR="00031310" w:rsidRDefault="00EA4C4E" w:rsidP="004E4DCB">
      <w:pPr>
        <w:pStyle w:val="References"/>
        <w:jc w:val="both"/>
      </w:pPr>
      <w:proofErr w:type="spellStart"/>
      <w:r>
        <w:t>Mildrexler</w:t>
      </w:r>
      <w:proofErr w:type="spellEnd"/>
      <w:r>
        <w:t xml:space="preserve">, D. J., M. Zhao, F. A. </w:t>
      </w:r>
      <w:proofErr w:type="spellStart"/>
      <w:r>
        <w:t>Heinsch</w:t>
      </w:r>
      <w:proofErr w:type="spellEnd"/>
      <w:r>
        <w:t xml:space="preserve">, S. W. Running. 2007. A new satellite-based methodology for continental-scale disturbance detection. </w:t>
      </w:r>
      <w:r>
        <w:rPr>
          <w:i/>
        </w:rPr>
        <w:t>Ecological Applications.</w:t>
      </w:r>
      <w:r>
        <w:t xml:space="preserve"> 17:235-250.</w:t>
      </w:r>
    </w:p>
    <w:p w14:paraId="341EC05C" w14:textId="77777777" w:rsidR="00031310" w:rsidRDefault="00EA4C4E" w:rsidP="004E4DCB">
      <w:pPr>
        <w:pStyle w:val="References"/>
        <w:jc w:val="both"/>
      </w:pPr>
      <w:proofErr w:type="spellStart"/>
      <w:r>
        <w:lastRenderedPageBreak/>
        <w:t>Mildrexler</w:t>
      </w:r>
      <w:proofErr w:type="spellEnd"/>
      <w:r>
        <w:t xml:space="preserve">, D. J., M. Zhao, S. W. Running. 2009. Testing a MODIS Global Disturbance Index across North America. </w:t>
      </w:r>
      <w:r>
        <w:rPr>
          <w:i/>
        </w:rPr>
        <w:t>Remote Sensing of Environment.</w:t>
      </w:r>
      <w:r>
        <w:t xml:space="preserve"> 113:2103-2117.</w:t>
      </w:r>
    </w:p>
    <w:p w14:paraId="1AC64E82" w14:textId="77777777" w:rsidR="00031310" w:rsidRDefault="00EA4C4E" w:rsidP="004E4DCB">
      <w:pPr>
        <w:pStyle w:val="References"/>
        <w:jc w:val="both"/>
      </w:pPr>
      <w:r>
        <w:t xml:space="preserve">Monteith, J. L. 1965. Evaporation and environment. In </w:t>
      </w:r>
      <w:r>
        <w:rPr>
          <w:i/>
        </w:rPr>
        <w:t>Symposia of the Society for Experimental Biology</w:t>
      </w:r>
      <w:r>
        <w:t xml:space="preserve"> (Vol. 19, p. 205).</w:t>
      </w:r>
    </w:p>
    <w:p w14:paraId="44BE96D6" w14:textId="26350D7D" w:rsidR="00031310" w:rsidRDefault="00EA4C4E" w:rsidP="004E4DCB">
      <w:pPr>
        <w:pStyle w:val="References"/>
        <w:jc w:val="both"/>
      </w:pPr>
      <w:r>
        <w:t>Monteith, J. L., and M. Unsworth. 20</w:t>
      </w:r>
      <w:r w:rsidR="006B461A">
        <w:t>13</w:t>
      </w:r>
      <w:r>
        <w:t xml:space="preserve">. Principles of Environmental Physics. </w:t>
      </w:r>
      <w:r w:rsidR="006B461A">
        <w:t xml:space="preserve">Fourth </w:t>
      </w:r>
      <w:r>
        <w:t>Ed.</w:t>
      </w:r>
    </w:p>
    <w:p w14:paraId="5EAD5FC4" w14:textId="77777777" w:rsidR="00031310" w:rsidRDefault="00EA4C4E" w:rsidP="004E4DCB">
      <w:pPr>
        <w:pStyle w:val="References"/>
        <w:jc w:val="both"/>
      </w:pPr>
      <w:r>
        <w:t xml:space="preserve">Mu, Q., </w:t>
      </w:r>
      <w:proofErr w:type="spellStart"/>
      <w:r>
        <w:t>Heinsch</w:t>
      </w:r>
      <w:proofErr w:type="spellEnd"/>
      <w:r>
        <w:t xml:space="preserve">, F. A., Zhao, M., and Running, S. W. 2007. Development of a global evapotranspiration algorithm based on MODIS and global meteorology data. </w:t>
      </w:r>
      <w:r>
        <w:rPr>
          <w:i/>
        </w:rPr>
        <w:t>Remote Sensing of Environment.</w:t>
      </w:r>
      <w:r>
        <w:t xml:space="preserve"> 111(4):519-536.</w:t>
      </w:r>
    </w:p>
    <w:p w14:paraId="3C3FBBBE" w14:textId="77777777" w:rsidR="00031310" w:rsidRDefault="00EA4C4E" w:rsidP="004E4DCB">
      <w:pPr>
        <w:pStyle w:val="References"/>
        <w:jc w:val="both"/>
      </w:pPr>
      <w:r>
        <w:t xml:space="preserve">Mu, Q., M. Zhao, and S. W. Running. 2011. Improvements to a MODIS global terrestrial evapotranspiration algorithm. </w:t>
      </w:r>
      <w:r>
        <w:rPr>
          <w:i/>
        </w:rPr>
        <w:t>Remote Sensing of Environment</w:t>
      </w:r>
      <w:r>
        <w:t xml:space="preserve"> 115 (8):1781–1800.</w:t>
      </w:r>
    </w:p>
    <w:p w14:paraId="7412442F" w14:textId="77777777" w:rsidR="00031310" w:rsidRDefault="00EA4C4E" w:rsidP="004E4DCB">
      <w:pPr>
        <w:pStyle w:val="References"/>
        <w:jc w:val="both"/>
      </w:pPr>
      <w:r>
        <w:t>National Physical Laboratory. 2021. “Buoyancy Correction and Air Density Measurement.” http://resource.npl.co.uk/docs/science_technology/mass_force_pressure/clubs_groups/instmc_weighing_panel/buoycornote.pdf Accessed: September 3, 2023.</w:t>
      </w:r>
    </w:p>
    <w:p w14:paraId="7BCEA8F2" w14:textId="77777777" w:rsidR="00031310" w:rsidRDefault="00EA4C4E" w:rsidP="004E4DCB">
      <w:pPr>
        <w:pStyle w:val="References"/>
        <w:jc w:val="both"/>
      </w:pPr>
      <w:proofErr w:type="spellStart"/>
      <w:r>
        <w:t>Nemani</w:t>
      </w:r>
      <w:proofErr w:type="spellEnd"/>
      <w:r>
        <w:t xml:space="preserve">, R. R., C. D. Keeling, H. Hashimoto, W. M. Jolly, S. C. Piper, C. J. Tucker, R. B. Myneni and S. W. Running. 2003. Climate-driven increases in global terrestrial net primary production from 1982 to 1999. </w:t>
      </w:r>
      <w:r>
        <w:rPr>
          <w:i/>
        </w:rPr>
        <w:t>Science.</w:t>
      </w:r>
      <w:r>
        <w:t xml:space="preserve"> 300:1560-1563.</w:t>
      </w:r>
    </w:p>
    <w:p w14:paraId="62973178" w14:textId="13A9BC34" w:rsidR="00E76A5E" w:rsidRDefault="00D01D0A" w:rsidP="00E76A5E">
      <w:pPr>
        <w:pStyle w:val="References"/>
        <w:jc w:val="both"/>
      </w:pPr>
      <w:r>
        <w:t xml:space="preserve">Priestley, C.H.B., and R.J. Taylor, 1972. On the assessment of surface heat flux and evaporation using large-scale parameters. </w:t>
      </w:r>
      <w:r w:rsidRPr="004E4DCB">
        <w:rPr>
          <w:i/>
        </w:rPr>
        <w:t>Monthly Weather Review</w:t>
      </w:r>
      <w:r>
        <w:t>, 100, 2, 81-92.</w:t>
      </w:r>
    </w:p>
    <w:p w14:paraId="42343F14" w14:textId="4C589D54" w:rsidR="00031310" w:rsidRDefault="00EA4C4E" w:rsidP="004E4DCB">
      <w:pPr>
        <w:pStyle w:val="References"/>
        <w:jc w:val="both"/>
      </w:pPr>
      <w:r>
        <w:t xml:space="preserve">Running, S. W., Loveland, T. R., and Pierce, L. L. 1994. A vegetation classification logic based on remote sensing for use in global scale biogeochemical models. </w:t>
      </w:r>
      <w:proofErr w:type="spellStart"/>
      <w:r>
        <w:rPr>
          <w:i/>
        </w:rPr>
        <w:t>Ambio</w:t>
      </w:r>
      <w:proofErr w:type="spellEnd"/>
      <w:r>
        <w:rPr>
          <w:i/>
        </w:rPr>
        <w:t>.</w:t>
      </w:r>
      <w:r>
        <w:t xml:space="preserve"> 23:77-81.</w:t>
      </w:r>
    </w:p>
    <w:p w14:paraId="6964C325" w14:textId="77777777" w:rsidR="00031310" w:rsidRDefault="00EA4C4E" w:rsidP="004E4DCB">
      <w:pPr>
        <w:pStyle w:val="References"/>
        <w:jc w:val="both"/>
      </w:pPr>
      <w:r>
        <w:t xml:space="preserve">Sexton, J. O., </w:t>
      </w:r>
      <w:proofErr w:type="spellStart"/>
      <w:r>
        <w:t>Noojipady</w:t>
      </w:r>
      <w:proofErr w:type="spellEnd"/>
      <w:r>
        <w:t xml:space="preserve">, P., Song, X. P., Feng, M., Song, D. X., Kim, D. H., ... and Townshend, J. R. 2016. Conservation policy and the measurement of forests. </w:t>
      </w:r>
      <w:r>
        <w:rPr>
          <w:i/>
        </w:rPr>
        <w:t>Nature Climate Change.</w:t>
      </w:r>
      <w:r>
        <w:t xml:space="preserve"> 6(2):192-196.</w:t>
      </w:r>
    </w:p>
    <w:p w14:paraId="599F5D53" w14:textId="77777777" w:rsidR="00031310" w:rsidRDefault="00EA4C4E" w:rsidP="004E4DCB">
      <w:pPr>
        <w:pStyle w:val="References"/>
        <w:jc w:val="both"/>
      </w:pPr>
      <w:r>
        <w:t xml:space="preserve">Shuttleworth, W. J., and Wallace, J. S. 1985. Evaporation from sparse crops-an energy combination theory. </w:t>
      </w:r>
      <w:r>
        <w:rPr>
          <w:i/>
        </w:rPr>
        <w:t>Quarterly Journal of the Royal Meteorological Society.</w:t>
      </w:r>
      <w:r>
        <w:t xml:space="preserve"> 111(469):839-855.</w:t>
      </w:r>
    </w:p>
    <w:p w14:paraId="51CC0ECB" w14:textId="77777777" w:rsidR="00031310" w:rsidRDefault="00EA4C4E" w:rsidP="004E4DCB">
      <w:pPr>
        <w:pStyle w:val="References"/>
        <w:jc w:val="both"/>
      </w:pPr>
      <w:r>
        <w:t xml:space="preserve">Song, X. P., Hansen, M. C., Stehman, S. V., Potapov, P. V., </w:t>
      </w:r>
      <w:proofErr w:type="spellStart"/>
      <w:r>
        <w:t>Tyukavina</w:t>
      </w:r>
      <w:proofErr w:type="spellEnd"/>
      <w:r>
        <w:t xml:space="preserve">, A., </w:t>
      </w:r>
      <w:proofErr w:type="spellStart"/>
      <w:r>
        <w:t>Vermote</w:t>
      </w:r>
      <w:proofErr w:type="spellEnd"/>
      <w:r>
        <w:t xml:space="preserve">, E. F., and Townshend, J. R. 2018. Global land change from 1982 to 2016. </w:t>
      </w:r>
      <w:r>
        <w:rPr>
          <w:i/>
        </w:rPr>
        <w:t>Nature.</w:t>
      </w:r>
      <w:r>
        <w:t xml:space="preserve"> 560(7720):639-643.</w:t>
      </w:r>
    </w:p>
    <w:p w14:paraId="1C607331" w14:textId="77777777" w:rsidR="00031310" w:rsidRDefault="00EA4C4E" w:rsidP="004E4DCB">
      <w:pPr>
        <w:pStyle w:val="References"/>
        <w:jc w:val="both"/>
      </w:pPr>
      <w:r>
        <w:t xml:space="preserve">Sun, Q., Z. Wang, Z. Li, A. </w:t>
      </w:r>
      <w:proofErr w:type="spellStart"/>
      <w:r>
        <w:t>Erb</w:t>
      </w:r>
      <w:proofErr w:type="spellEnd"/>
      <w:r>
        <w:t xml:space="preserve">, and C. L. B. Schaaf. 2017. Evaluation of the global MODIS 30 arc-second spatially and temporally complete snow-free land surface albedo and reflectance anisotropy dataset. </w:t>
      </w:r>
      <w:r>
        <w:rPr>
          <w:i/>
        </w:rPr>
        <w:t>Intl. Journal of Applied Earth Observation and Geoinformation</w:t>
      </w:r>
      <w:r>
        <w:t>. 58:36-49.</w:t>
      </w:r>
    </w:p>
    <w:p w14:paraId="3B2FD26D" w14:textId="77777777" w:rsidR="00031310" w:rsidRDefault="00EA4C4E" w:rsidP="004E4DCB">
      <w:pPr>
        <w:pStyle w:val="References"/>
        <w:jc w:val="both"/>
      </w:pPr>
      <w:proofErr w:type="spellStart"/>
      <w:r>
        <w:t>Tuzet</w:t>
      </w:r>
      <w:proofErr w:type="spellEnd"/>
      <w:r>
        <w:t xml:space="preserve">, A., Perrier, A., and </w:t>
      </w:r>
      <w:proofErr w:type="spellStart"/>
      <w:r>
        <w:t>Leuning</w:t>
      </w:r>
      <w:proofErr w:type="spellEnd"/>
      <w:r>
        <w:t xml:space="preserve">, R. 2003. Stomatal control of photosynthesis and transpiration: Results from a soil–plant–atmosphere continuum model. </w:t>
      </w:r>
      <w:r>
        <w:rPr>
          <w:i/>
        </w:rPr>
        <w:t>Plant, Cell and Environment.</w:t>
      </w:r>
      <w:r>
        <w:t xml:space="preserve"> 26:1097-1116.</w:t>
      </w:r>
    </w:p>
    <w:p w14:paraId="34A87F35" w14:textId="2D79DEA3" w:rsidR="00031310" w:rsidRDefault="00EA4C4E" w:rsidP="004E4DCB">
      <w:pPr>
        <w:pStyle w:val="References"/>
        <w:jc w:val="both"/>
      </w:pPr>
      <w:r>
        <w:t xml:space="preserve">Wan, Z., Zhang, Y., Zhang, Q., and Li, Z. L. 2002. Validation of the land-surface temperature products retrieved from Terra Moderate Resolution Imaging Spectroradiometer data. </w:t>
      </w:r>
      <w:r>
        <w:rPr>
          <w:i/>
        </w:rPr>
        <w:t>Remote Sensing of Environment.</w:t>
      </w:r>
      <w:r>
        <w:t xml:space="preserve"> 83(1):163-180.</w:t>
      </w:r>
    </w:p>
    <w:p w14:paraId="375ED90D" w14:textId="4ECFCA53" w:rsidR="00C366E2" w:rsidRDefault="00C366E2" w:rsidP="004E4DCB">
      <w:pPr>
        <w:pStyle w:val="References"/>
        <w:jc w:val="both"/>
      </w:pPr>
      <w:r>
        <w:t xml:space="preserve">Xu, B., T. Park, K. Yan, C. Chen, Y. Zeng, W. Song, G. Yin, Q. Liu, Y. </w:t>
      </w:r>
      <w:proofErr w:type="spellStart"/>
      <w:r>
        <w:t>Knyazikhin</w:t>
      </w:r>
      <w:proofErr w:type="spellEnd"/>
      <w:r>
        <w:t xml:space="preserve">, and R.B. Myneni, 2018. Analysis of global LAI/FPAR products from VIIRS and MODIS sensors for </w:t>
      </w:r>
      <w:proofErr w:type="spellStart"/>
      <w:r>
        <w:t>spatio</w:t>
      </w:r>
      <w:proofErr w:type="spellEnd"/>
      <w:r>
        <w:t xml:space="preserve">-temporal consistency and uncertainty from 2012-2016. </w:t>
      </w:r>
      <w:r>
        <w:rPr>
          <w:i/>
        </w:rPr>
        <w:t>Forests</w:t>
      </w:r>
      <w:r>
        <w:t xml:space="preserve"> 9, 2, 73, DOI:10.3390/f9020073.</w:t>
      </w:r>
    </w:p>
    <w:p w14:paraId="3F24E567" w14:textId="77777777" w:rsidR="00031310" w:rsidRDefault="00EA4C4E" w:rsidP="004E4DCB">
      <w:pPr>
        <w:pStyle w:val="References"/>
        <w:jc w:val="both"/>
      </w:pPr>
      <w:r>
        <w:lastRenderedPageBreak/>
        <w:t xml:space="preserve">Zhang, K., J. S. Kimball, and S. W. Running. 2016. A review of remote sensing based actual evapotranspiration estimation. </w:t>
      </w:r>
      <w:r>
        <w:rPr>
          <w:i/>
        </w:rPr>
        <w:t>Wiley Interdisciplinary Reviews: Water</w:t>
      </w:r>
      <w:r>
        <w:t xml:space="preserve"> 3 (6):834–853.</w:t>
      </w:r>
    </w:p>
    <w:p w14:paraId="05816F65" w14:textId="77777777" w:rsidR="00031310" w:rsidRDefault="00EA4C4E" w:rsidP="004E4DCB">
      <w:pPr>
        <w:pStyle w:val="References"/>
        <w:jc w:val="both"/>
      </w:pPr>
      <w:r>
        <w:t xml:space="preserve">Zhao, M., </w:t>
      </w:r>
      <w:proofErr w:type="spellStart"/>
      <w:r>
        <w:t>Heinsch</w:t>
      </w:r>
      <w:proofErr w:type="spellEnd"/>
      <w:r>
        <w:t xml:space="preserve">, F. A., </w:t>
      </w:r>
      <w:proofErr w:type="spellStart"/>
      <w:r>
        <w:t>Nemani</w:t>
      </w:r>
      <w:proofErr w:type="spellEnd"/>
      <w:r>
        <w:t xml:space="preserve">, R. R., and Running, S. W. 2005. Improvements of the MODIS terrestrial gross and net primary production global data set. </w:t>
      </w:r>
      <w:r>
        <w:rPr>
          <w:i/>
        </w:rPr>
        <w:t>Remote Sensing of Environment.</w:t>
      </w:r>
      <w:r>
        <w:t xml:space="preserve"> 95(2):164–176.</w:t>
      </w:r>
    </w:p>
    <w:sectPr w:rsidR="00031310">
      <w:pgSz w:w="12240" w:h="15840"/>
      <w:pgMar w:top="1440" w:right="1440" w:bottom="1440" w:left="1440" w:header="0" w:footer="0" w:gutter="0"/>
      <w:cols w:space="720"/>
      <w:formProt w:val="0"/>
      <w:docGrid w:linePitch="24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FCCBF5" w14:textId="77777777" w:rsidR="00F32A7D" w:rsidRDefault="00F32A7D" w:rsidP="00533327">
      <w:r>
        <w:separator/>
      </w:r>
    </w:p>
  </w:endnote>
  <w:endnote w:type="continuationSeparator" w:id="0">
    <w:p w14:paraId="4125406D" w14:textId="77777777" w:rsidR="00F32A7D" w:rsidRDefault="00F32A7D" w:rsidP="005333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1"/>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Droid Sans Fallback">
    <w:altName w:val="Segoe UI"/>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OpenSymbol">
    <w:altName w:val="Arial Unicode MS"/>
    <w:panose1 w:val="020B0604020202020204"/>
    <w:charset w:val="80"/>
    <w:family w:val="auto"/>
    <w:pitch w:val="default"/>
  </w:font>
  <w:font w:name="Liberation Sans">
    <w:altName w:val="Arial"/>
    <w:panose1 w:val="020B0604020202020204"/>
    <w:charset w:val="01"/>
    <w:family w:val="swiss"/>
    <w:pitch w:val="variable"/>
  </w:font>
  <w:font w:name="FreeSans">
    <w:altName w:val="Times New Roman"/>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4002EFF" w:usb1="C000E47F" w:usb2="00000009" w:usb3="00000000" w:csb0="000001FF" w:csb1="00000000"/>
  </w:font>
  <w:font w:name="wasy10">
    <w:altName w:val="Cambria"/>
    <w:panose1 w:val="020B0604020202020204"/>
    <w:charset w:val="01"/>
    <w:family w:val="auto"/>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3295762"/>
      <w:docPartObj>
        <w:docPartGallery w:val="Page Numbers (Bottom of Page)"/>
        <w:docPartUnique/>
      </w:docPartObj>
    </w:sdtPr>
    <w:sdtContent>
      <w:p w14:paraId="4C2E80D9" w14:textId="5E587E78" w:rsidR="006F0560" w:rsidRDefault="006F0560" w:rsidP="0045027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E8F7DA5" w14:textId="77777777" w:rsidR="00E117F3" w:rsidRDefault="00E117F3" w:rsidP="006F056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143258921"/>
      <w:docPartObj>
        <w:docPartGallery w:val="Page Numbers (Bottom of Page)"/>
        <w:docPartUnique/>
      </w:docPartObj>
    </w:sdtPr>
    <w:sdtContent>
      <w:p w14:paraId="2CBC66F5" w14:textId="058A8ECF" w:rsidR="00450274" w:rsidRDefault="00450274" w:rsidP="00EE47AA">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36B03A3A" w14:textId="77777777" w:rsidR="00E117F3" w:rsidRDefault="00E117F3" w:rsidP="006F056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10314D" w14:textId="77777777" w:rsidR="00F32A7D" w:rsidRDefault="00F32A7D" w:rsidP="00533327">
      <w:r>
        <w:separator/>
      </w:r>
    </w:p>
  </w:footnote>
  <w:footnote w:type="continuationSeparator" w:id="0">
    <w:p w14:paraId="4BC06E36" w14:textId="77777777" w:rsidR="00F32A7D" w:rsidRDefault="00F32A7D" w:rsidP="005333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8F1946" w14:textId="77777777" w:rsidR="00533327" w:rsidRDefault="005333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6D9D2" w14:textId="77777777" w:rsidR="00533327" w:rsidRDefault="00533327">
    <w:pPr>
      <w:pStyle w:val="Header"/>
    </w:pPr>
  </w:p>
  <w:p w14:paraId="02B64A7F" w14:textId="6336D7F9" w:rsidR="00FE6AAA" w:rsidRDefault="00FE6AAA" w:rsidP="00FE6AA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671F78" w14:textId="77777777" w:rsidR="00533327" w:rsidRDefault="005333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515B4"/>
    <w:multiLevelType w:val="multilevel"/>
    <w:tmpl w:val="9F9EDE2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 w15:restartNumberingAfterBreak="0">
    <w:nsid w:val="0CF25E34"/>
    <w:multiLevelType w:val="multilevel"/>
    <w:tmpl w:val="598A7726"/>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2" w15:restartNumberingAfterBreak="0">
    <w:nsid w:val="172F18C5"/>
    <w:multiLevelType w:val="multilevel"/>
    <w:tmpl w:val="0526CE0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3" w15:restartNumberingAfterBreak="0">
    <w:nsid w:val="1DFF6EEF"/>
    <w:multiLevelType w:val="multilevel"/>
    <w:tmpl w:val="3CB2098C"/>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4" w15:restartNumberingAfterBreak="0">
    <w:nsid w:val="25822054"/>
    <w:multiLevelType w:val="multilevel"/>
    <w:tmpl w:val="CC08E5A6"/>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5" w15:restartNumberingAfterBreak="0">
    <w:nsid w:val="2F7B3E56"/>
    <w:multiLevelType w:val="multilevel"/>
    <w:tmpl w:val="720CB78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6" w15:restartNumberingAfterBreak="0">
    <w:nsid w:val="328D17FB"/>
    <w:multiLevelType w:val="multilevel"/>
    <w:tmpl w:val="58924B6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2DA1B47"/>
    <w:multiLevelType w:val="multilevel"/>
    <w:tmpl w:val="734A66A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8" w15:restartNumberingAfterBreak="0">
    <w:nsid w:val="34927D94"/>
    <w:multiLevelType w:val="multilevel"/>
    <w:tmpl w:val="CD3605F2"/>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9" w15:restartNumberingAfterBreak="0">
    <w:nsid w:val="3619216A"/>
    <w:multiLevelType w:val="multilevel"/>
    <w:tmpl w:val="3D7E90C0"/>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0" w15:restartNumberingAfterBreak="0">
    <w:nsid w:val="40996D85"/>
    <w:multiLevelType w:val="multilevel"/>
    <w:tmpl w:val="99ACDE8C"/>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1" w15:restartNumberingAfterBreak="0">
    <w:nsid w:val="44732A61"/>
    <w:multiLevelType w:val="multilevel"/>
    <w:tmpl w:val="07B2977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2" w15:restartNumberingAfterBreak="0">
    <w:nsid w:val="55597CFE"/>
    <w:multiLevelType w:val="multilevel"/>
    <w:tmpl w:val="E992177C"/>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3" w15:restartNumberingAfterBreak="0">
    <w:nsid w:val="56CA40B5"/>
    <w:multiLevelType w:val="multilevel"/>
    <w:tmpl w:val="22BA9356"/>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4" w15:restartNumberingAfterBreak="0">
    <w:nsid w:val="57772BC0"/>
    <w:multiLevelType w:val="multilevel"/>
    <w:tmpl w:val="2C2AAE3E"/>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5" w15:restartNumberingAfterBreak="0">
    <w:nsid w:val="579D5D50"/>
    <w:multiLevelType w:val="multilevel"/>
    <w:tmpl w:val="41AE35A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6" w15:restartNumberingAfterBreak="0">
    <w:nsid w:val="595A2338"/>
    <w:multiLevelType w:val="multilevel"/>
    <w:tmpl w:val="A68E4342"/>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7" w15:restartNumberingAfterBreak="0">
    <w:nsid w:val="5F435385"/>
    <w:multiLevelType w:val="multilevel"/>
    <w:tmpl w:val="D8F030DE"/>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8" w15:restartNumberingAfterBreak="0">
    <w:nsid w:val="600D2739"/>
    <w:multiLevelType w:val="multilevel"/>
    <w:tmpl w:val="E37238C6"/>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19" w15:restartNumberingAfterBreak="0">
    <w:nsid w:val="6658029D"/>
    <w:multiLevelType w:val="multilevel"/>
    <w:tmpl w:val="CDC0B662"/>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20" w15:restartNumberingAfterBreak="0">
    <w:nsid w:val="68B64F9B"/>
    <w:multiLevelType w:val="multilevel"/>
    <w:tmpl w:val="66BA7116"/>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21" w15:restartNumberingAfterBreak="0">
    <w:nsid w:val="7B97221A"/>
    <w:multiLevelType w:val="multilevel"/>
    <w:tmpl w:val="0B1A664E"/>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22" w15:restartNumberingAfterBreak="0">
    <w:nsid w:val="7C1B62B7"/>
    <w:multiLevelType w:val="multilevel"/>
    <w:tmpl w:val="C0C497CC"/>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abstractNum w:abstractNumId="23" w15:restartNumberingAfterBreak="0">
    <w:nsid w:val="7D521263"/>
    <w:multiLevelType w:val="multilevel"/>
    <w:tmpl w:val="28B02DFA"/>
    <w:lvl w:ilvl="0">
      <w:numFmt w:val="bullet"/>
      <w:lvlText w:val=""/>
      <w:lvlJc w:val="left"/>
      <w:pPr>
        <w:tabs>
          <w:tab w:val="num" w:pos="0"/>
        </w:tabs>
        <w:ind w:left="480" w:hanging="480"/>
      </w:pPr>
      <w:rPr>
        <w:rFonts w:ascii="Symbol" w:hAnsi="Symbol" w:cs="Symbol" w:hint="default"/>
      </w:rPr>
    </w:lvl>
    <w:lvl w:ilvl="1">
      <w:numFmt w:val="bullet"/>
      <w:lvlText w:val=""/>
      <w:lvlJc w:val="left"/>
      <w:pPr>
        <w:tabs>
          <w:tab w:val="num" w:pos="720"/>
        </w:tabs>
        <w:ind w:left="1200" w:hanging="480"/>
      </w:pPr>
      <w:rPr>
        <w:rFonts w:ascii="Symbol" w:hAnsi="Symbol" w:cs="Symbol" w:hint="default"/>
      </w:rPr>
    </w:lvl>
    <w:lvl w:ilvl="2">
      <w:numFmt w:val="bullet"/>
      <w:lvlText w:val=""/>
      <w:lvlJc w:val="left"/>
      <w:pPr>
        <w:tabs>
          <w:tab w:val="num" w:pos="1440"/>
        </w:tabs>
        <w:ind w:left="1920" w:hanging="480"/>
      </w:pPr>
      <w:rPr>
        <w:rFonts w:ascii="Symbol" w:hAnsi="Symbol" w:cs="Symbol" w:hint="default"/>
      </w:rPr>
    </w:lvl>
    <w:lvl w:ilvl="3">
      <w:numFmt w:val="bullet"/>
      <w:lvlText w:val=""/>
      <w:lvlJc w:val="left"/>
      <w:pPr>
        <w:tabs>
          <w:tab w:val="num" w:pos="2160"/>
        </w:tabs>
        <w:ind w:left="2640" w:hanging="480"/>
      </w:pPr>
      <w:rPr>
        <w:rFonts w:ascii="Symbol" w:hAnsi="Symbol" w:cs="Symbol" w:hint="default"/>
      </w:rPr>
    </w:lvl>
    <w:lvl w:ilvl="4">
      <w:numFmt w:val="bullet"/>
      <w:lvlText w:val=""/>
      <w:lvlJc w:val="left"/>
      <w:pPr>
        <w:tabs>
          <w:tab w:val="num" w:pos="2880"/>
        </w:tabs>
        <w:ind w:left="3360" w:hanging="480"/>
      </w:pPr>
      <w:rPr>
        <w:rFonts w:ascii="Symbol" w:hAnsi="Symbol" w:cs="Symbol" w:hint="default"/>
      </w:rPr>
    </w:lvl>
    <w:lvl w:ilvl="5">
      <w:numFmt w:val="bullet"/>
      <w:lvlText w:val=""/>
      <w:lvlJc w:val="left"/>
      <w:pPr>
        <w:tabs>
          <w:tab w:val="num" w:pos="3600"/>
        </w:tabs>
        <w:ind w:left="4080" w:hanging="480"/>
      </w:pPr>
      <w:rPr>
        <w:rFonts w:ascii="Symbol" w:hAnsi="Symbol" w:cs="Symbol" w:hint="default"/>
      </w:rPr>
    </w:lvl>
    <w:lvl w:ilvl="6">
      <w:numFmt w:val="bullet"/>
      <w:lvlText w:val=""/>
      <w:lvlJc w:val="left"/>
      <w:pPr>
        <w:tabs>
          <w:tab w:val="num" w:pos="4320"/>
        </w:tabs>
        <w:ind w:left="4800" w:hanging="480"/>
      </w:pPr>
      <w:rPr>
        <w:rFonts w:ascii="Symbol" w:hAnsi="Symbol" w:cs="Symbol" w:hint="default"/>
      </w:rPr>
    </w:lvl>
    <w:lvl w:ilvl="7">
      <w:numFmt w:val="bullet"/>
      <w:lvlText w:val=""/>
      <w:lvlJc w:val="left"/>
      <w:pPr>
        <w:tabs>
          <w:tab w:val="num" w:pos="5040"/>
        </w:tabs>
        <w:ind w:left="5520" w:hanging="480"/>
      </w:pPr>
      <w:rPr>
        <w:rFonts w:ascii="Symbol" w:hAnsi="Symbol" w:cs="Symbol" w:hint="default"/>
      </w:rPr>
    </w:lvl>
    <w:lvl w:ilvl="8">
      <w:numFmt w:val="bullet"/>
      <w:lvlText w:val=""/>
      <w:lvlJc w:val="left"/>
      <w:pPr>
        <w:tabs>
          <w:tab w:val="num" w:pos="5760"/>
        </w:tabs>
        <w:ind w:left="6240" w:hanging="480"/>
      </w:pPr>
      <w:rPr>
        <w:rFonts w:ascii="Symbol" w:hAnsi="Symbol" w:cs="Symbol" w:hint="default"/>
      </w:rPr>
    </w:lvl>
  </w:abstractNum>
  <w:num w:numId="1" w16cid:durableId="1971931747">
    <w:abstractNumId w:val="21"/>
  </w:num>
  <w:num w:numId="2" w16cid:durableId="1974286967">
    <w:abstractNumId w:val="1"/>
  </w:num>
  <w:num w:numId="3" w16cid:durableId="1699698489">
    <w:abstractNumId w:val="9"/>
  </w:num>
  <w:num w:numId="4" w16cid:durableId="167673853">
    <w:abstractNumId w:val="10"/>
  </w:num>
  <w:num w:numId="5" w16cid:durableId="1831173276">
    <w:abstractNumId w:val="7"/>
  </w:num>
  <w:num w:numId="6" w16cid:durableId="1656104011">
    <w:abstractNumId w:val="23"/>
  </w:num>
  <w:num w:numId="7" w16cid:durableId="1902866845">
    <w:abstractNumId w:val="4"/>
  </w:num>
  <w:num w:numId="8" w16cid:durableId="873882349">
    <w:abstractNumId w:val="15"/>
  </w:num>
  <w:num w:numId="9" w16cid:durableId="1965889120">
    <w:abstractNumId w:val="0"/>
  </w:num>
  <w:num w:numId="10" w16cid:durableId="737557530">
    <w:abstractNumId w:val="14"/>
  </w:num>
  <w:num w:numId="11" w16cid:durableId="1937638190">
    <w:abstractNumId w:val="2"/>
  </w:num>
  <w:num w:numId="12" w16cid:durableId="1857620467">
    <w:abstractNumId w:val="19"/>
  </w:num>
  <w:num w:numId="13" w16cid:durableId="486898165">
    <w:abstractNumId w:val="5"/>
  </w:num>
  <w:num w:numId="14" w16cid:durableId="1264873832">
    <w:abstractNumId w:val="16"/>
  </w:num>
  <w:num w:numId="15" w16cid:durableId="910774003">
    <w:abstractNumId w:val="13"/>
  </w:num>
  <w:num w:numId="16" w16cid:durableId="1408452106">
    <w:abstractNumId w:val="22"/>
  </w:num>
  <w:num w:numId="17" w16cid:durableId="287516723">
    <w:abstractNumId w:val="20"/>
  </w:num>
  <w:num w:numId="18" w16cid:durableId="561253549">
    <w:abstractNumId w:val="18"/>
  </w:num>
  <w:num w:numId="19" w16cid:durableId="940573187">
    <w:abstractNumId w:val="11"/>
  </w:num>
  <w:num w:numId="20" w16cid:durableId="27730615">
    <w:abstractNumId w:val="17"/>
  </w:num>
  <w:num w:numId="21" w16cid:durableId="856582748">
    <w:abstractNumId w:val="3"/>
  </w:num>
  <w:num w:numId="22" w16cid:durableId="1831754522">
    <w:abstractNumId w:val="12"/>
  </w:num>
  <w:num w:numId="23" w16cid:durableId="1369180226">
    <w:abstractNumId w:val="8"/>
  </w:num>
  <w:num w:numId="24" w16cid:durableId="509567024">
    <w:abstractNumId w:val="6"/>
  </w:num>
  <w:num w:numId="25" w16cid:durableId="1596790929">
    <w:abstractNumId w:val="21"/>
  </w:num>
  <w:num w:numId="26" w16cid:durableId="1189486792">
    <w:abstractNumId w:val="21"/>
  </w:num>
  <w:num w:numId="27" w16cid:durableId="627473691">
    <w:abstractNumId w:val="21"/>
  </w:num>
  <w:num w:numId="28" w16cid:durableId="1304655950">
    <w:abstractNumId w:val="21"/>
  </w:num>
  <w:num w:numId="29" w16cid:durableId="1514567771">
    <w:abstractNumId w:val="21"/>
  </w:num>
  <w:num w:numId="30" w16cid:durableId="11615067">
    <w:abstractNumId w:val="21"/>
  </w:num>
  <w:num w:numId="31" w16cid:durableId="374044501">
    <w:abstractNumId w:val="21"/>
  </w:num>
  <w:num w:numId="32" w16cid:durableId="760639837">
    <w:abstractNumId w:val="21"/>
  </w:num>
  <w:num w:numId="33" w16cid:durableId="987396422">
    <w:abstractNumId w:val="21"/>
  </w:num>
  <w:num w:numId="34" w16cid:durableId="1641761652">
    <w:abstractNumId w:val="21"/>
  </w:num>
  <w:num w:numId="35" w16cid:durableId="555164632">
    <w:abstractNumId w:val="21"/>
  </w:num>
  <w:num w:numId="36" w16cid:durableId="1494834698">
    <w:abstractNumId w:val="21"/>
  </w:num>
  <w:num w:numId="37" w16cid:durableId="306319961">
    <w:abstractNumId w:val="21"/>
  </w:num>
  <w:num w:numId="38" w16cid:durableId="2068915950">
    <w:abstractNumId w:val="21"/>
  </w:num>
  <w:num w:numId="39" w16cid:durableId="311181316">
    <w:abstractNumId w:val="21"/>
  </w:num>
  <w:num w:numId="40" w16cid:durableId="1202669692">
    <w:abstractNumId w:val="21"/>
  </w:num>
  <w:num w:numId="41" w16cid:durableId="660811488">
    <w:abstractNumId w:val="21"/>
  </w:num>
  <w:num w:numId="42" w16cid:durableId="540020169">
    <w:abstractNumId w:val="21"/>
  </w:num>
  <w:num w:numId="43" w16cid:durableId="255333914">
    <w:abstractNumId w:val="21"/>
  </w:num>
  <w:num w:numId="44" w16cid:durableId="1850751329">
    <w:abstractNumId w:val="21"/>
  </w:num>
  <w:num w:numId="45" w16cid:durableId="565192168">
    <w:abstractNumId w:val="21"/>
  </w:num>
  <w:num w:numId="46" w16cid:durableId="122730293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isplayBackgroundShape/>
  <w:embedSystemFonts/>
  <w:proofState w:spelling="clean"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1310"/>
    <w:rsid w:val="00001DFB"/>
    <w:rsid w:val="00014393"/>
    <w:rsid w:val="000213D6"/>
    <w:rsid w:val="000279B2"/>
    <w:rsid w:val="00031310"/>
    <w:rsid w:val="00046AD6"/>
    <w:rsid w:val="000A72B2"/>
    <w:rsid w:val="000D2F96"/>
    <w:rsid w:val="000E31D0"/>
    <w:rsid w:val="00104116"/>
    <w:rsid w:val="001138D4"/>
    <w:rsid w:val="001160FE"/>
    <w:rsid w:val="00121AD6"/>
    <w:rsid w:val="00123F92"/>
    <w:rsid w:val="001475AE"/>
    <w:rsid w:val="00152B25"/>
    <w:rsid w:val="00152C7A"/>
    <w:rsid w:val="001860FE"/>
    <w:rsid w:val="001966D1"/>
    <w:rsid w:val="001B0740"/>
    <w:rsid w:val="001B23B4"/>
    <w:rsid w:val="001B3FDF"/>
    <w:rsid w:val="001C6934"/>
    <w:rsid w:val="001D4916"/>
    <w:rsid w:val="001E6224"/>
    <w:rsid w:val="001E6431"/>
    <w:rsid w:val="00201DA4"/>
    <w:rsid w:val="00204C46"/>
    <w:rsid w:val="00265846"/>
    <w:rsid w:val="00265AC0"/>
    <w:rsid w:val="0027232C"/>
    <w:rsid w:val="0027788A"/>
    <w:rsid w:val="002815AA"/>
    <w:rsid w:val="00284EAA"/>
    <w:rsid w:val="002969DD"/>
    <w:rsid w:val="00296B20"/>
    <w:rsid w:val="002B5459"/>
    <w:rsid w:val="002F2FB5"/>
    <w:rsid w:val="0031701B"/>
    <w:rsid w:val="00360A33"/>
    <w:rsid w:val="00365C8D"/>
    <w:rsid w:val="00391F7E"/>
    <w:rsid w:val="003B7000"/>
    <w:rsid w:val="003C6DE2"/>
    <w:rsid w:val="003D2B06"/>
    <w:rsid w:val="003D334E"/>
    <w:rsid w:val="003D3AE5"/>
    <w:rsid w:val="003E0895"/>
    <w:rsid w:val="0040723A"/>
    <w:rsid w:val="004343B3"/>
    <w:rsid w:val="00450274"/>
    <w:rsid w:val="004606E6"/>
    <w:rsid w:val="00462732"/>
    <w:rsid w:val="00467B0A"/>
    <w:rsid w:val="00471F51"/>
    <w:rsid w:val="004902D6"/>
    <w:rsid w:val="004A2262"/>
    <w:rsid w:val="004A644A"/>
    <w:rsid w:val="004B6806"/>
    <w:rsid w:val="004D28D1"/>
    <w:rsid w:val="004E4DCB"/>
    <w:rsid w:val="004E5AD7"/>
    <w:rsid w:val="004E79ED"/>
    <w:rsid w:val="0050569C"/>
    <w:rsid w:val="00520017"/>
    <w:rsid w:val="00533327"/>
    <w:rsid w:val="00534706"/>
    <w:rsid w:val="005522AF"/>
    <w:rsid w:val="005541F0"/>
    <w:rsid w:val="00554B0E"/>
    <w:rsid w:val="00565E69"/>
    <w:rsid w:val="0058518C"/>
    <w:rsid w:val="00594828"/>
    <w:rsid w:val="005A2298"/>
    <w:rsid w:val="005A5D4B"/>
    <w:rsid w:val="005B1BC6"/>
    <w:rsid w:val="005B4B17"/>
    <w:rsid w:val="005C70FA"/>
    <w:rsid w:val="00610263"/>
    <w:rsid w:val="00626D33"/>
    <w:rsid w:val="006319E5"/>
    <w:rsid w:val="00640485"/>
    <w:rsid w:val="00663593"/>
    <w:rsid w:val="006A4819"/>
    <w:rsid w:val="006A6733"/>
    <w:rsid w:val="006B461A"/>
    <w:rsid w:val="006C646B"/>
    <w:rsid w:val="006D08D3"/>
    <w:rsid w:val="006D300A"/>
    <w:rsid w:val="006D3072"/>
    <w:rsid w:val="006F0560"/>
    <w:rsid w:val="006F3B7B"/>
    <w:rsid w:val="006F6014"/>
    <w:rsid w:val="00705992"/>
    <w:rsid w:val="0071040C"/>
    <w:rsid w:val="00711C9C"/>
    <w:rsid w:val="00733501"/>
    <w:rsid w:val="00741AAE"/>
    <w:rsid w:val="00742BD2"/>
    <w:rsid w:val="00757624"/>
    <w:rsid w:val="00790BD6"/>
    <w:rsid w:val="007B3215"/>
    <w:rsid w:val="007D3799"/>
    <w:rsid w:val="007E58A9"/>
    <w:rsid w:val="007E591A"/>
    <w:rsid w:val="007E5F87"/>
    <w:rsid w:val="00806ECA"/>
    <w:rsid w:val="00811E46"/>
    <w:rsid w:val="00817ACD"/>
    <w:rsid w:val="0082213C"/>
    <w:rsid w:val="00824CA4"/>
    <w:rsid w:val="008260B2"/>
    <w:rsid w:val="00850BDD"/>
    <w:rsid w:val="00880AF4"/>
    <w:rsid w:val="00892C5E"/>
    <w:rsid w:val="00906C7B"/>
    <w:rsid w:val="00914C26"/>
    <w:rsid w:val="00914CDA"/>
    <w:rsid w:val="00956C1C"/>
    <w:rsid w:val="0096241B"/>
    <w:rsid w:val="009856EF"/>
    <w:rsid w:val="00987F76"/>
    <w:rsid w:val="009C7C46"/>
    <w:rsid w:val="009E2D14"/>
    <w:rsid w:val="00A020EE"/>
    <w:rsid w:val="00A3359B"/>
    <w:rsid w:val="00A47C6F"/>
    <w:rsid w:val="00A6408E"/>
    <w:rsid w:val="00A86A9A"/>
    <w:rsid w:val="00A92ED7"/>
    <w:rsid w:val="00AA33C9"/>
    <w:rsid w:val="00AB621F"/>
    <w:rsid w:val="00AC454B"/>
    <w:rsid w:val="00AD0E5A"/>
    <w:rsid w:val="00B063A7"/>
    <w:rsid w:val="00B20B03"/>
    <w:rsid w:val="00B606FB"/>
    <w:rsid w:val="00B7235D"/>
    <w:rsid w:val="00B76B42"/>
    <w:rsid w:val="00B825B3"/>
    <w:rsid w:val="00BA3EA0"/>
    <w:rsid w:val="00BB4890"/>
    <w:rsid w:val="00BC1F5D"/>
    <w:rsid w:val="00BD29D9"/>
    <w:rsid w:val="00C366E2"/>
    <w:rsid w:val="00C402CC"/>
    <w:rsid w:val="00C82B1C"/>
    <w:rsid w:val="00C94E2C"/>
    <w:rsid w:val="00CA12AF"/>
    <w:rsid w:val="00CA473D"/>
    <w:rsid w:val="00CB453C"/>
    <w:rsid w:val="00CC6594"/>
    <w:rsid w:val="00CE4905"/>
    <w:rsid w:val="00CF0D36"/>
    <w:rsid w:val="00D01D0A"/>
    <w:rsid w:val="00D20A32"/>
    <w:rsid w:val="00D53B7F"/>
    <w:rsid w:val="00D56313"/>
    <w:rsid w:val="00D56688"/>
    <w:rsid w:val="00D6284A"/>
    <w:rsid w:val="00D90781"/>
    <w:rsid w:val="00DA0F16"/>
    <w:rsid w:val="00DB7A7D"/>
    <w:rsid w:val="00DE1B5C"/>
    <w:rsid w:val="00DE2604"/>
    <w:rsid w:val="00DF3828"/>
    <w:rsid w:val="00DF3B35"/>
    <w:rsid w:val="00E01552"/>
    <w:rsid w:val="00E07E20"/>
    <w:rsid w:val="00E11341"/>
    <w:rsid w:val="00E117F3"/>
    <w:rsid w:val="00E16029"/>
    <w:rsid w:val="00E26759"/>
    <w:rsid w:val="00E76A5E"/>
    <w:rsid w:val="00E91362"/>
    <w:rsid w:val="00E958DB"/>
    <w:rsid w:val="00EA2043"/>
    <w:rsid w:val="00EA4C4E"/>
    <w:rsid w:val="00EA617F"/>
    <w:rsid w:val="00EA66F2"/>
    <w:rsid w:val="00EB0543"/>
    <w:rsid w:val="00EC39B6"/>
    <w:rsid w:val="00EE3494"/>
    <w:rsid w:val="00EE3FA6"/>
    <w:rsid w:val="00EF3249"/>
    <w:rsid w:val="00F00784"/>
    <w:rsid w:val="00F05AE9"/>
    <w:rsid w:val="00F06A6E"/>
    <w:rsid w:val="00F16405"/>
    <w:rsid w:val="00F27DD7"/>
    <w:rsid w:val="00F32A7D"/>
    <w:rsid w:val="00F3608B"/>
    <w:rsid w:val="00F42516"/>
    <w:rsid w:val="00F44720"/>
    <w:rsid w:val="00F64960"/>
    <w:rsid w:val="00F90C12"/>
    <w:rsid w:val="00F93CF8"/>
    <w:rsid w:val="00F95D76"/>
    <w:rsid w:val="00FA5B65"/>
    <w:rsid w:val="00FE4824"/>
    <w:rsid w:val="00FE4ACC"/>
    <w:rsid w:val="00FE6AAA"/>
    <w:rsid w:val="00FF05A8"/>
    <w:rsid w:val="00FF5596"/>
    <w:rsid w:val="00FF6060"/>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8AF77F"/>
  <w15:docId w15:val="{CA2A9F45-7A06-40D8-9F81-A82F00B6D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Droid Sans Fallback" w:hAnsi="Cambria" w:cs="Cambria"/>
        <w:szCs w:val="24"/>
        <w:lang w:val="en-US" w:eastAsia="en-US" w:bidi="ar-SA"/>
      </w:rPr>
    </w:rPrDefault>
    <w:pPrDefault>
      <w:pPr>
        <w:suppressAutoHyphens/>
      </w:pPr>
    </w:pPrDefault>
  </w:docDefaults>
  <w:latentStyles w:defLockedState="0" w:defUIPriority="0" w:defSemiHidden="0" w:defUnhideWhenUsed="0" w:defQFormat="0" w:count="376">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ind w:left="720"/>
    </w:pPr>
    <w:rPr>
      <w:rFonts w:ascii="Times New Roman" w:hAnsi="Times New Roman"/>
      <w:color w:val="00000A"/>
      <w:sz w:val="24"/>
    </w:rPr>
  </w:style>
  <w:style w:type="paragraph" w:styleId="Heading1">
    <w:name w:val="heading 1"/>
    <w:basedOn w:val="Normal"/>
    <w:next w:val="Normal"/>
    <w:uiPriority w:val="9"/>
    <w:qFormat/>
    <w:pPr>
      <w:keepNext/>
      <w:keepLines/>
      <w:spacing w:before="346" w:after="173"/>
      <w:ind w:left="0"/>
      <w:outlineLvl w:val="0"/>
    </w:pPr>
    <w:rPr>
      <w:b/>
      <w:bCs/>
      <w:color w:val="000000"/>
      <w:sz w:val="32"/>
      <w:szCs w:val="36"/>
    </w:rPr>
  </w:style>
  <w:style w:type="paragraph" w:styleId="Heading2">
    <w:name w:val="heading 2"/>
    <w:basedOn w:val="Normal"/>
    <w:next w:val="Normal"/>
    <w:uiPriority w:val="9"/>
    <w:unhideWhenUsed/>
    <w:qFormat/>
    <w:pPr>
      <w:keepNext/>
      <w:keepLines/>
      <w:spacing w:before="173" w:after="86"/>
      <w:ind w:left="0"/>
      <w:outlineLvl w:val="1"/>
    </w:pPr>
    <w:rPr>
      <w:b/>
      <w:bCs/>
      <w:color w:val="000000"/>
      <w:sz w:val="28"/>
      <w:szCs w:val="32"/>
    </w:rPr>
  </w:style>
  <w:style w:type="paragraph" w:styleId="Heading3">
    <w:name w:val="heading 3"/>
    <w:basedOn w:val="Normal"/>
    <w:next w:val="Normal"/>
    <w:uiPriority w:val="9"/>
    <w:unhideWhenUsed/>
    <w:qFormat/>
    <w:pPr>
      <w:keepNext/>
      <w:keepLines/>
      <w:spacing w:before="173" w:after="86"/>
      <w:ind w:left="0"/>
      <w:outlineLvl w:val="2"/>
    </w:pPr>
    <w:rPr>
      <w:b/>
      <w:bCs/>
      <w:color w:val="000000"/>
      <w:szCs w:val="28"/>
    </w:rPr>
  </w:style>
  <w:style w:type="paragraph" w:styleId="Heading4">
    <w:name w:val="heading 4"/>
    <w:basedOn w:val="Normal"/>
    <w:next w:val="Normal"/>
    <w:uiPriority w:val="9"/>
    <w:unhideWhenUsed/>
    <w:qFormat/>
    <w:pPr>
      <w:keepNext/>
      <w:keepLines/>
      <w:spacing w:before="173" w:after="86"/>
      <w:ind w:left="0"/>
      <w:outlineLvl w:val="3"/>
    </w:pPr>
    <w:rPr>
      <w:bCs/>
      <w:i/>
      <w:color w:val="000000"/>
    </w:rPr>
  </w:style>
  <w:style w:type="paragraph" w:styleId="Heading5">
    <w:name w:val="heading 5"/>
    <w:basedOn w:val="Normal"/>
    <w:next w:val="Normal"/>
    <w:uiPriority w:val="9"/>
    <w:unhideWhenUsed/>
    <w:qFormat/>
    <w:pPr>
      <w:keepNext/>
      <w:keepLines/>
      <w:spacing w:before="200"/>
      <w:ind w:left="0"/>
      <w:outlineLvl w:val="4"/>
    </w:pPr>
    <w:rPr>
      <w:rFonts w:ascii="Calibri" w:hAnsi="Calibri"/>
      <w:i/>
      <w:iCs/>
      <w:color w:val="4F81BD"/>
    </w:rPr>
  </w:style>
  <w:style w:type="paragraph" w:styleId="Heading6">
    <w:name w:val="heading 6"/>
    <w:basedOn w:val="Normal"/>
    <w:qFormat/>
    <w:pPr>
      <w:keepNext/>
      <w:keepLines/>
      <w:spacing w:before="200"/>
      <w:ind w:left="0"/>
      <w:outlineLvl w:val="5"/>
    </w:pPr>
    <w:rPr>
      <w:rFonts w:ascii="Calibri" w:hAnsi="Calibri"/>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Char">
    <w:name w:val="Body Text Char"/>
    <w:basedOn w:val="DefaultParagraphFont"/>
    <w:link w:val="ImageCaption"/>
    <w:qFormat/>
  </w:style>
  <w:style w:type="character" w:customStyle="1" w:styleId="VerbatimChar">
    <w:name w:val="Verbatim Char"/>
    <w:basedOn w:val="BodyTextChar"/>
    <w:qFormat/>
    <w:rPr>
      <w:rFonts w:ascii="Consolas" w:hAnsi="Consolas"/>
      <w:sz w:val="22"/>
    </w:rPr>
  </w:style>
  <w:style w:type="character" w:customStyle="1" w:styleId="FootnoteRef">
    <w:name w:val="Footnote Ref"/>
    <w:basedOn w:val="BodyTextChar"/>
    <w:qFormat/>
    <w:rPr>
      <w:vertAlign w:val="superscript"/>
    </w:rPr>
  </w:style>
  <w:style w:type="character" w:customStyle="1" w:styleId="Link">
    <w:name w:val="Link"/>
    <w:basedOn w:val="BodyTextChar"/>
    <w:qFormat/>
    <w:rPr>
      <w:color w:val="4F81BD"/>
    </w:rPr>
  </w:style>
  <w:style w:type="character" w:customStyle="1" w:styleId="FootnoteAnchor">
    <w:name w:val="Footnote Anchor"/>
    <w:basedOn w:val="BodyTextChar"/>
    <w:rPr>
      <w:vertAlign w:val="superscript"/>
    </w:rPr>
  </w:style>
  <w:style w:type="character" w:styleId="Hyperlink">
    <w:name w:val="Hyperlink"/>
    <w:basedOn w:val="BodyTextChar"/>
    <w:uiPriority w:val="99"/>
    <w:rPr>
      <w:color w:val="4F81BD"/>
      <w:u w:val="single"/>
    </w:rPr>
  </w:style>
  <w:style w:type="character" w:customStyle="1" w:styleId="KeywordTok">
    <w:name w:val="KeywordTok"/>
    <w:basedOn w:val="VerbatimChar"/>
    <w:qFormat/>
    <w:rPr>
      <w:rFonts w:ascii="Consolas" w:hAnsi="Consolas"/>
      <w:b/>
      <w:color w:val="007020"/>
      <w:sz w:val="22"/>
    </w:rPr>
  </w:style>
  <w:style w:type="character" w:customStyle="1" w:styleId="DataTypeTok">
    <w:name w:val="DataTypeTok"/>
    <w:basedOn w:val="VerbatimChar"/>
    <w:qFormat/>
    <w:rPr>
      <w:rFonts w:ascii="Consolas" w:hAnsi="Consolas"/>
      <w:color w:val="902000"/>
      <w:sz w:val="22"/>
    </w:rPr>
  </w:style>
  <w:style w:type="character" w:customStyle="1" w:styleId="DecValTok">
    <w:name w:val="DecValTok"/>
    <w:basedOn w:val="VerbatimChar"/>
    <w:qFormat/>
    <w:rPr>
      <w:rFonts w:ascii="Consolas" w:hAnsi="Consolas"/>
      <w:color w:val="40A070"/>
      <w:sz w:val="22"/>
    </w:rPr>
  </w:style>
  <w:style w:type="character" w:customStyle="1" w:styleId="BaseNTok">
    <w:name w:val="BaseNTok"/>
    <w:basedOn w:val="VerbatimChar"/>
    <w:qFormat/>
    <w:rPr>
      <w:rFonts w:ascii="Consolas" w:hAnsi="Consolas"/>
      <w:color w:val="40A070"/>
      <w:sz w:val="22"/>
    </w:rPr>
  </w:style>
  <w:style w:type="character" w:customStyle="1" w:styleId="FloatTok">
    <w:name w:val="FloatTok"/>
    <w:basedOn w:val="VerbatimChar"/>
    <w:qFormat/>
    <w:rPr>
      <w:rFonts w:ascii="Consolas" w:hAnsi="Consolas"/>
      <w:color w:val="40A070"/>
      <w:sz w:val="22"/>
    </w:rPr>
  </w:style>
  <w:style w:type="character" w:customStyle="1" w:styleId="ConstantTok">
    <w:name w:val="ConstantTok"/>
    <w:basedOn w:val="VerbatimChar"/>
    <w:qFormat/>
    <w:rPr>
      <w:rFonts w:ascii="Consolas" w:hAnsi="Consolas"/>
      <w:color w:val="880000"/>
      <w:sz w:val="22"/>
    </w:rPr>
  </w:style>
  <w:style w:type="character" w:customStyle="1" w:styleId="CharTok">
    <w:name w:val="CharTok"/>
    <w:basedOn w:val="VerbatimChar"/>
    <w:qFormat/>
    <w:rPr>
      <w:rFonts w:ascii="Consolas" w:hAnsi="Consolas"/>
      <w:color w:val="4070A0"/>
      <w:sz w:val="22"/>
    </w:rPr>
  </w:style>
  <w:style w:type="character" w:customStyle="1" w:styleId="SpecialCharTok">
    <w:name w:val="SpecialCharTok"/>
    <w:basedOn w:val="VerbatimChar"/>
    <w:qFormat/>
    <w:rPr>
      <w:rFonts w:ascii="Consolas" w:hAnsi="Consolas"/>
      <w:color w:val="4070A0"/>
      <w:sz w:val="22"/>
    </w:rPr>
  </w:style>
  <w:style w:type="character" w:customStyle="1" w:styleId="StringTok">
    <w:name w:val="StringTok"/>
    <w:basedOn w:val="VerbatimChar"/>
    <w:qFormat/>
    <w:rPr>
      <w:rFonts w:ascii="Consolas" w:hAnsi="Consolas"/>
      <w:color w:val="4070A0"/>
      <w:sz w:val="22"/>
    </w:rPr>
  </w:style>
  <w:style w:type="character" w:customStyle="1" w:styleId="VerbatimStringTok">
    <w:name w:val="VerbatimStringTok"/>
    <w:basedOn w:val="VerbatimChar"/>
    <w:qFormat/>
    <w:rPr>
      <w:rFonts w:ascii="Consolas" w:hAnsi="Consolas"/>
      <w:color w:val="4070A0"/>
      <w:sz w:val="22"/>
    </w:rPr>
  </w:style>
  <w:style w:type="character" w:customStyle="1" w:styleId="SpecialStringTok">
    <w:name w:val="SpecialStringTok"/>
    <w:basedOn w:val="VerbatimChar"/>
    <w:qFormat/>
    <w:rPr>
      <w:rFonts w:ascii="Consolas" w:hAnsi="Consolas"/>
      <w:color w:val="BB6688"/>
      <w:sz w:val="22"/>
    </w:rPr>
  </w:style>
  <w:style w:type="character" w:customStyle="1" w:styleId="ImportTok">
    <w:name w:val="ImportTok"/>
    <w:basedOn w:val="VerbatimChar"/>
    <w:qFormat/>
    <w:rPr>
      <w:rFonts w:ascii="Consolas" w:hAnsi="Consolas"/>
      <w:sz w:val="22"/>
    </w:rPr>
  </w:style>
  <w:style w:type="character" w:customStyle="1" w:styleId="CommentTok">
    <w:name w:val="CommentTok"/>
    <w:basedOn w:val="VerbatimChar"/>
    <w:qFormat/>
    <w:rPr>
      <w:rFonts w:ascii="Consolas" w:hAnsi="Consolas"/>
      <w:i/>
      <w:color w:val="60A0B0"/>
      <w:sz w:val="22"/>
    </w:rPr>
  </w:style>
  <w:style w:type="character" w:customStyle="1" w:styleId="DocumentationTok">
    <w:name w:val="DocumentationTok"/>
    <w:basedOn w:val="VerbatimChar"/>
    <w:qFormat/>
    <w:rPr>
      <w:rFonts w:ascii="Consolas" w:hAnsi="Consolas"/>
      <w:i/>
      <w:color w:val="BA2121"/>
      <w:sz w:val="22"/>
    </w:rPr>
  </w:style>
  <w:style w:type="character" w:customStyle="1" w:styleId="AnnotationTok">
    <w:name w:val="AnnotationTok"/>
    <w:basedOn w:val="VerbatimChar"/>
    <w:qFormat/>
    <w:rPr>
      <w:rFonts w:ascii="Consolas" w:hAnsi="Consolas"/>
      <w:b/>
      <w:i/>
      <w:color w:val="60A0B0"/>
      <w:sz w:val="22"/>
    </w:rPr>
  </w:style>
  <w:style w:type="character" w:customStyle="1" w:styleId="CommentVarTok">
    <w:name w:val="CommentVarTok"/>
    <w:basedOn w:val="VerbatimChar"/>
    <w:qFormat/>
    <w:rPr>
      <w:rFonts w:ascii="Consolas" w:hAnsi="Consolas"/>
      <w:b/>
      <w:i/>
      <w:color w:val="60A0B0"/>
      <w:sz w:val="22"/>
    </w:rPr>
  </w:style>
  <w:style w:type="character" w:customStyle="1" w:styleId="OtherTok">
    <w:name w:val="OtherTok"/>
    <w:basedOn w:val="VerbatimChar"/>
    <w:qFormat/>
    <w:rPr>
      <w:rFonts w:ascii="Consolas" w:hAnsi="Consolas"/>
      <w:color w:val="007020"/>
      <w:sz w:val="22"/>
    </w:rPr>
  </w:style>
  <w:style w:type="character" w:customStyle="1" w:styleId="FunctionTok">
    <w:name w:val="FunctionTok"/>
    <w:basedOn w:val="VerbatimChar"/>
    <w:qFormat/>
    <w:rPr>
      <w:rFonts w:ascii="Consolas" w:hAnsi="Consolas"/>
      <w:color w:val="06287E"/>
      <w:sz w:val="22"/>
    </w:rPr>
  </w:style>
  <w:style w:type="character" w:customStyle="1" w:styleId="VariableTok">
    <w:name w:val="VariableTok"/>
    <w:basedOn w:val="VerbatimChar"/>
    <w:qFormat/>
    <w:rPr>
      <w:rFonts w:ascii="Consolas" w:hAnsi="Consolas"/>
      <w:color w:val="19177C"/>
      <w:sz w:val="22"/>
    </w:rPr>
  </w:style>
  <w:style w:type="character" w:customStyle="1" w:styleId="ControlFlowTok">
    <w:name w:val="ControlFlowTok"/>
    <w:basedOn w:val="VerbatimChar"/>
    <w:qFormat/>
    <w:rPr>
      <w:rFonts w:ascii="Consolas" w:hAnsi="Consolas"/>
      <w:b/>
      <w:color w:val="007020"/>
      <w:sz w:val="22"/>
    </w:rPr>
  </w:style>
  <w:style w:type="character" w:customStyle="1" w:styleId="OperatorTok">
    <w:name w:val="OperatorTok"/>
    <w:basedOn w:val="VerbatimChar"/>
    <w:qFormat/>
    <w:rPr>
      <w:rFonts w:ascii="Consolas" w:hAnsi="Consolas"/>
      <w:color w:val="666666"/>
      <w:sz w:val="22"/>
    </w:rPr>
  </w:style>
  <w:style w:type="character" w:customStyle="1" w:styleId="BuiltInTok">
    <w:name w:val="BuiltInTok"/>
    <w:basedOn w:val="VerbatimChar"/>
    <w:qFormat/>
    <w:rPr>
      <w:rFonts w:ascii="Consolas" w:hAnsi="Consolas"/>
      <w:sz w:val="22"/>
    </w:rPr>
  </w:style>
  <w:style w:type="character" w:customStyle="1" w:styleId="ExtensionTok">
    <w:name w:val="ExtensionTok"/>
    <w:basedOn w:val="VerbatimChar"/>
    <w:qFormat/>
    <w:rPr>
      <w:rFonts w:ascii="Consolas" w:hAnsi="Consolas"/>
      <w:sz w:val="22"/>
    </w:rPr>
  </w:style>
  <w:style w:type="character" w:customStyle="1" w:styleId="PreprocessorTok">
    <w:name w:val="PreprocessorTok"/>
    <w:basedOn w:val="VerbatimChar"/>
    <w:qFormat/>
    <w:rPr>
      <w:rFonts w:ascii="Consolas" w:hAnsi="Consolas"/>
      <w:color w:val="BC7A00"/>
      <w:sz w:val="22"/>
    </w:rPr>
  </w:style>
  <w:style w:type="character" w:customStyle="1" w:styleId="AttributeTok">
    <w:name w:val="AttributeTok"/>
    <w:basedOn w:val="VerbatimChar"/>
    <w:qFormat/>
    <w:rPr>
      <w:rFonts w:ascii="Consolas" w:hAnsi="Consolas"/>
      <w:color w:val="7D9029"/>
      <w:sz w:val="22"/>
    </w:rPr>
  </w:style>
  <w:style w:type="character" w:customStyle="1" w:styleId="RegionMarkerTok">
    <w:name w:val="RegionMarkerTok"/>
    <w:basedOn w:val="VerbatimChar"/>
    <w:qFormat/>
    <w:rPr>
      <w:rFonts w:ascii="Consolas" w:hAnsi="Consolas"/>
      <w:sz w:val="22"/>
    </w:rPr>
  </w:style>
  <w:style w:type="character" w:customStyle="1" w:styleId="InformationTok">
    <w:name w:val="InformationTok"/>
    <w:basedOn w:val="VerbatimChar"/>
    <w:qFormat/>
    <w:rPr>
      <w:rFonts w:ascii="Consolas" w:hAnsi="Consolas"/>
      <w:b/>
      <w:i/>
      <w:color w:val="60A0B0"/>
      <w:sz w:val="22"/>
    </w:rPr>
  </w:style>
  <w:style w:type="character" w:customStyle="1" w:styleId="WarningTok">
    <w:name w:val="WarningTok"/>
    <w:basedOn w:val="VerbatimChar"/>
    <w:qFormat/>
    <w:rPr>
      <w:rFonts w:ascii="Consolas" w:hAnsi="Consolas"/>
      <w:b/>
      <w:i/>
      <w:color w:val="60A0B0"/>
      <w:sz w:val="22"/>
    </w:rPr>
  </w:style>
  <w:style w:type="character" w:customStyle="1" w:styleId="AlertTok">
    <w:name w:val="AlertTok"/>
    <w:basedOn w:val="VerbatimChar"/>
    <w:qFormat/>
    <w:rPr>
      <w:rFonts w:ascii="Consolas" w:hAnsi="Consolas"/>
      <w:b/>
      <w:color w:val="FF0000"/>
      <w:sz w:val="22"/>
    </w:rPr>
  </w:style>
  <w:style w:type="character" w:customStyle="1" w:styleId="ErrorTok">
    <w:name w:val="ErrorTok"/>
    <w:basedOn w:val="VerbatimChar"/>
    <w:qFormat/>
    <w:rPr>
      <w:rFonts w:ascii="Consolas" w:hAnsi="Consolas"/>
      <w:b/>
      <w:color w:val="FF0000"/>
      <w:sz w:val="22"/>
    </w:rPr>
  </w:style>
  <w:style w:type="character" w:customStyle="1" w:styleId="NormalTok">
    <w:name w:val="NormalTok"/>
    <w:basedOn w:val="VerbatimChar"/>
    <w:qFormat/>
    <w:rPr>
      <w:rFonts w:ascii="Consolas" w:hAnsi="Consolas"/>
      <w:sz w:val="22"/>
    </w:rPr>
  </w:style>
  <w:style w:type="character" w:customStyle="1" w:styleId="Bullets">
    <w:name w:val="Bullets"/>
    <w:qFormat/>
    <w:rPr>
      <w:rFonts w:ascii="OpenSymbol" w:eastAsia="OpenSymbol" w:hAnsi="OpenSymbol" w:cs="OpenSymbol"/>
    </w:rPr>
  </w:style>
  <w:style w:type="character" w:styleId="FollowedHyperlink">
    <w:name w:val="FollowedHyperlink"/>
    <w:rPr>
      <w:color w:val="800000"/>
      <w:u w:val="single"/>
    </w:rPr>
  </w:style>
  <w:style w:type="character" w:customStyle="1" w:styleId="IndexLink">
    <w:name w:val="Index Link"/>
    <w:qFormat/>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hAnsi="Liberation Sans" w:cs="FreeSans"/>
      <w:sz w:val="28"/>
      <w:szCs w:val="28"/>
    </w:rPr>
  </w:style>
  <w:style w:type="paragraph" w:styleId="BodyText">
    <w:name w:val="Body Text"/>
    <w:basedOn w:val="Normal"/>
    <w:pPr>
      <w:spacing w:line="264" w:lineRule="auto"/>
      <w:ind w:left="0" w:firstLine="567"/>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qFormat/>
    <w:pPr>
      <w:suppressLineNumbers/>
    </w:pPr>
    <w:rPr>
      <w:rFonts w:cs="FreeSans"/>
    </w:rPr>
  </w:style>
  <w:style w:type="paragraph" w:customStyle="1" w:styleId="Compact">
    <w:name w:val="Compact"/>
    <w:basedOn w:val="Normal"/>
    <w:qFormat/>
    <w:pPr>
      <w:spacing w:before="36" w:after="36"/>
      <w:ind w:left="680" w:hanging="363"/>
    </w:pPr>
  </w:style>
  <w:style w:type="paragraph" w:styleId="Title">
    <w:name w:val="Title"/>
    <w:basedOn w:val="Normal"/>
    <w:next w:val="Normal"/>
    <w:qFormat/>
    <w:pPr>
      <w:keepNext/>
      <w:keepLines/>
      <w:spacing w:after="227" w:line="432" w:lineRule="exact"/>
      <w:ind w:left="0"/>
    </w:pPr>
    <w:rPr>
      <w:rFonts w:ascii="Helvetica" w:hAnsi="Helvetica"/>
      <w:b/>
      <w:bCs/>
      <w:color w:val="000000"/>
      <w:sz w:val="36"/>
      <w:szCs w:val="36"/>
    </w:rPr>
  </w:style>
  <w:style w:type="paragraph" w:customStyle="1" w:styleId="Authors">
    <w:name w:val="Authors"/>
    <w:next w:val="Normal"/>
    <w:qFormat/>
    <w:pPr>
      <w:keepNext/>
      <w:keepLines/>
      <w:spacing w:after="200"/>
    </w:pPr>
    <w:rPr>
      <w:rFonts w:ascii="Helvetica" w:hAnsi="Helvetica"/>
      <w:color w:val="00000A"/>
      <w:sz w:val="24"/>
    </w:rPr>
  </w:style>
  <w:style w:type="paragraph" w:styleId="Date">
    <w:name w:val="Date"/>
    <w:next w:val="Normal"/>
    <w:qFormat/>
    <w:pPr>
      <w:keepNext/>
      <w:keepLines/>
      <w:spacing w:after="200"/>
      <w:jc w:val="center"/>
    </w:pPr>
    <w:rPr>
      <w:color w:val="00000A"/>
      <w:sz w:val="24"/>
    </w:rPr>
  </w:style>
  <w:style w:type="paragraph" w:customStyle="1" w:styleId="BlockQuote">
    <w:name w:val="Block Quote"/>
    <w:basedOn w:val="Normal"/>
    <w:next w:val="Normal"/>
    <w:uiPriority w:val="9"/>
    <w:unhideWhenUsed/>
    <w:qFormat/>
    <w:pPr>
      <w:spacing w:before="100" w:after="100"/>
    </w:pPr>
    <w:rPr>
      <w:rFonts w:ascii="Calibri" w:hAnsi="Calibri"/>
      <w:bCs/>
      <w:sz w:val="20"/>
      <w:szCs w:val="20"/>
    </w:rPr>
  </w:style>
  <w:style w:type="paragraph" w:customStyle="1" w:styleId="DefinitionTerm">
    <w:name w:val="Definition Term"/>
    <w:basedOn w:val="Normal"/>
    <w:qFormat/>
    <w:pPr>
      <w:keepNext/>
      <w:keepLines/>
      <w:spacing w:before="180"/>
    </w:pPr>
    <w:rPr>
      <w:b/>
    </w:rPr>
  </w:style>
  <w:style w:type="paragraph" w:customStyle="1" w:styleId="Definition">
    <w:name w:val="Definition"/>
    <w:basedOn w:val="Normal"/>
    <w:qFormat/>
  </w:style>
  <w:style w:type="paragraph" w:customStyle="1" w:styleId="TableCaption">
    <w:name w:val="Table Caption"/>
    <w:basedOn w:val="Normal"/>
    <w:qFormat/>
    <w:pPr>
      <w:spacing w:after="120"/>
      <w:ind w:left="0"/>
    </w:pPr>
    <w:rPr>
      <w:rFonts w:ascii="Helvetica" w:hAnsi="Helvetica"/>
      <w:i/>
      <w:sz w:val="22"/>
      <w:szCs w:val="22"/>
    </w:rPr>
  </w:style>
  <w:style w:type="paragraph" w:customStyle="1" w:styleId="ImageCaption">
    <w:name w:val="Image Caption"/>
    <w:basedOn w:val="Normal"/>
    <w:link w:val="BodyTextChar"/>
    <w:qFormat/>
    <w:pPr>
      <w:spacing w:after="120"/>
      <w:ind w:left="0"/>
    </w:pPr>
    <w:rPr>
      <w:rFonts w:ascii="Helvetica" w:hAnsi="Helvetica"/>
      <w:i/>
      <w:sz w:val="22"/>
      <w:szCs w:val="22"/>
    </w:rPr>
  </w:style>
  <w:style w:type="paragraph" w:customStyle="1" w:styleId="Quotations">
    <w:name w:val="Quotations"/>
    <w:basedOn w:val="Normal"/>
    <w:qFormat/>
  </w:style>
  <w:style w:type="paragraph" w:styleId="Subtitle">
    <w:name w:val="Subtitle"/>
    <w:basedOn w:val="Heading"/>
    <w:qFormat/>
  </w:style>
  <w:style w:type="paragraph" w:customStyle="1" w:styleId="FirstParagraph">
    <w:name w:val="First Paragraph"/>
    <w:basedOn w:val="BodyText"/>
    <w:qFormat/>
    <w:pPr>
      <w:ind w:firstLine="0"/>
    </w:pPr>
  </w:style>
  <w:style w:type="paragraph" w:customStyle="1" w:styleId="Author">
    <w:name w:val="Author"/>
    <w:basedOn w:val="Heading1"/>
    <w:qFormat/>
    <w:pPr>
      <w:spacing w:before="0" w:after="200"/>
    </w:pPr>
    <w:rPr>
      <w:rFonts w:ascii="Helvetica" w:hAnsi="Helvetica"/>
      <w:color w:val="00000A"/>
      <w:sz w:val="24"/>
      <w:szCs w:val="24"/>
    </w:rPr>
  </w:style>
  <w:style w:type="paragraph" w:customStyle="1" w:styleId="Abstract">
    <w:name w:val="Abstract"/>
    <w:basedOn w:val="Normal"/>
    <w:qFormat/>
    <w:pPr>
      <w:keepNext/>
      <w:keepLines/>
      <w:spacing w:before="300" w:after="300"/>
    </w:pPr>
    <w:rPr>
      <w:sz w:val="20"/>
      <w:szCs w:val="20"/>
    </w:rPr>
  </w:style>
  <w:style w:type="paragraph" w:styleId="Bibliography">
    <w:name w:val="Bibliography"/>
    <w:basedOn w:val="Normal"/>
    <w:qFormat/>
    <w:pPr>
      <w:spacing w:after="113"/>
      <w:ind w:left="283" w:hanging="283"/>
    </w:pPr>
    <w:rPr>
      <w:sz w:val="20"/>
    </w:rPr>
  </w:style>
  <w:style w:type="paragraph" w:styleId="BlockText">
    <w:name w:val="Block Text"/>
    <w:basedOn w:val="Normal"/>
    <w:qFormat/>
    <w:pPr>
      <w:spacing w:before="180" w:after="180"/>
      <w:ind w:right="720"/>
    </w:pPr>
    <w:rPr>
      <w:bCs/>
      <w:i/>
      <w:iCs/>
      <w:szCs w:val="20"/>
    </w:rPr>
  </w:style>
  <w:style w:type="paragraph" w:styleId="FootnoteText">
    <w:name w:val="footnote text"/>
    <w:basedOn w:val="Normal"/>
  </w:style>
  <w:style w:type="paragraph" w:customStyle="1" w:styleId="Figure">
    <w:name w:val="Figure"/>
    <w:basedOn w:val="Normal"/>
    <w:qFormat/>
  </w:style>
  <w:style w:type="paragraph" w:customStyle="1" w:styleId="FigurewithCaption">
    <w:name w:val="Figure with Caption"/>
    <w:basedOn w:val="Figure"/>
    <w:qFormat/>
    <w:pPr>
      <w:keepNext/>
    </w:pPr>
  </w:style>
  <w:style w:type="paragraph" w:styleId="TOAHeading">
    <w:name w:val="toa heading"/>
    <w:basedOn w:val="IndexHeading"/>
    <w:qFormat/>
  </w:style>
  <w:style w:type="paragraph" w:customStyle="1" w:styleId="SourceCode">
    <w:name w:val="Source Code"/>
    <w:basedOn w:val="Normal"/>
    <w:qFormat/>
  </w:style>
  <w:style w:type="paragraph" w:customStyle="1" w:styleId="Equation">
    <w:name w:val="Equation"/>
    <w:basedOn w:val="BodyText"/>
    <w:qFormat/>
  </w:style>
  <w:style w:type="paragraph" w:customStyle="1" w:styleId="TableContents">
    <w:name w:val="Table Contents"/>
    <w:basedOn w:val="Normal"/>
    <w:qFormat/>
    <w:pPr>
      <w:suppressLineNumbers/>
      <w:ind w:left="0"/>
    </w:pPr>
  </w:style>
  <w:style w:type="paragraph" w:customStyle="1" w:styleId="TableHeading">
    <w:name w:val="Table Heading"/>
    <w:basedOn w:val="TableContents"/>
    <w:qFormat/>
    <w:pPr>
      <w:jc w:val="center"/>
    </w:pPr>
    <w:rPr>
      <w:b/>
      <w:bCs/>
    </w:rPr>
  </w:style>
  <w:style w:type="paragraph" w:styleId="IndexHeading">
    <w:name w:val="index heading"/>
    <w:basedOn w:val="Heading"/>
    <w:pPr>
      <w:suppressLineNumbers/>
      <w:ind w:left="0"/>
    </w:pPr>
    <w:rPr>
      <w:b/>
      <w:bCs/>
      <w:sz w:val="32"/>
      <w:szCs w:val="32"/>
    </w:rPr>
  </w:style>
  <w:style w:type="paragraph" w:styleId="TOC1">
    <w:name w:val="toc 1"/>
    <w:basedOn w:val="Index"/>
    <w:uiPriority w:val="39"/>
    <w:pPr>
      <w:suppressLineNumbers w:val="0"/>
      <w:spacing w:before="120"/>
      <w:ind w:left="0"/>
    </w:pPr>
    <w:rPr>
      <w:rFonts w:asciiTheme="minorHAnsi" w:hAnsiTheme="minorHAnsi" w:cs="Cambria"/>
      <w:b/>
      <w:bCs/>
      <w:i/>
      <w:iCs/>
    </w:rPr>
  </w:style>
  <w:style w:type="paragraph" w:styleId="TOC2">
    <w:name w:val="toc 2"/>
    <w:basedOn w:val="Index"/>
    <w:uiPriority w:val="39"/>
    <w:pPr>
      <w:suppressLineNumbers w:val="0"/>
      <w:spacing w:before="120"/>
      <w:ind w:left="240"/>
    </w:pPr>
    <w:rPr>
      <w:rFonts w:asciiTheme="minorHAnsi" w:hAnsiTheme="minorHAnsi" w:cs="Cambria"/>
      <w:b/>
      <w:bCs/>
      <w:sz w:val="22"/>
      <w:szCs w:val="22"/>
    </w:rPr>
  </w:style>
  <w:style w:type="paragraph" w:styleId="TOCHeading">
    <w:name w:val="TOC Heading"/>
    <w:basedOn w:val="IndexHeading"/>
    <w:uiPriority w:val="39"/>
    <w:qFormat/>
  </w:style>
  <w:style w:type="paragraph" w:styleId="PlainText">
    <w:name w:val="Plain Text"/>
    <w:basedOn w:val="Normal"/>
    <w:link w:val="PlainTextChar"/>
    <w:qFormat/>
    <w:rPr>
      <w:rFonts w:ascii="Courier New" w:eastAsia="Batang" w:hAnsi="Courier New" w:cs="Courier New"/>
      <w:sz w:val="20"/>
      <w:szCs w:val="20"/>
    </w:rPr>
  </w:style>
  <w:style w:type="paragraph" w:customStyle="1" w:styleId="Table">
    <w:name w:val="Table"/>
    <w:basedOn w:val="Caption"/>
    <w:qFormat/>
  </w:style>
  <w:style w:type="paragraph" w:customStyle="1" w:styleId="References">
    <w:name w:val="References"/>
    <w:basedOn w:val="Normal"/>
    <w:qFormat/>
    <w:pPr>
      <w:spacing w:after="58"/>
      <w:ind w:hanging="720"/>
    </w:pPr>
  </w:style>
  <w:style w:type="paragraph" w:styleId="CommentText">
    <w:name w:val="annotation text"/>
    <w:basedOn w:val="Normal"/>
    <w:link w:val="CommentTextChar"/>
    <w:semiHidden/>
    <w:unhideWhenUsed/>
    <w:rPr>
      <w:sz w:val="20"/>
      <w:szCs w:val="20"/>
    </w:rPr>
  </w:style>
  <w:style w:type="character" w:customStyle="1" w:styleId="CommentTextChar">
    <w:name w:val="Comment Text Char"/>
    <w:basedOn w:val="DefaultParagraphFont"/>
    <w:link w:val="CommentText"/>
    <w:semiHidden/>
    <w:rPr>
      <w:rFonts w:ascii="Times New Roman" w:hAnsi="Times New Roman"/>
      <w:color w:val="00000A"/>
      <w:szCs w:val="20"/>
    </w:rPr>
  </w:style>
  <w:style w:type="character" w:styleId="CommentReference">
    <w:name w:val="annotation reference"/>
    <w:basedOn w:val="DefaultParagraphFont"/>
    <w:semiHidden/>
    <w:unhideWhenUsed/>
    <w:rPr>
      <w:sz w:val="16"/>
      <w:szCs w:val="16"/>
    </w:rPr>
  </w:style>
  <w:style w:type="paragraph" w:styleId="CommentSubject">
    <w:name w:val="annotation subject"/>
    <w:basedOn w:val="CommentText"/>
    <w:next w:val="CommentText"/>
    <w:link w:val="CommentSubjectChar"/>
    <w:semiHidden/>
    <w:unhideWhenUsed/>
    <w:rsid w:val="00757624"/>
    <w:rPr>
      <w:b/>
      <w:bCs/>
    </w:rPr>
  </w:style>
  <w:style w:type="character" w:customStyle="1" w:styleId="CommentSubjectChar">
    <w:name w:val="Comment Subject Char"/>
    <w:basedOn w:val="CommentTextChar"/>
    <w:link w:val="CommentSubject"/>
    <w:semiHidden/>
    <w:rsid w:val="00757624"/>
    <w:rPr>
      <w:rFonts w:ascii="Times New Roman" w:hAnsi="Times New Roman"/>
      <w:b/>
      <w:bCs/>
      <w:color w:val="00000A"/>
      <w:szCs w:val="20"/>
    </w:rPr>
  </w:style>
  <w:style w:type="paragraph" w:styleId="BalloonText">
    <w:name w:val="Balloon Text"/>
    <w:basedOn w:val="Normal"/>
    <w:link w:val="BalloonTextChar"/>
    <w:semiHidden/>
    <w:unhideWhenUsed/>
    <w:rsid w:val="00757624"/>
    <w:rPr>
      <w:rFonts w:ascii="Segoe UI" w:hAnsi="Segoe UI" w:cs="Segoe UI"/>
      <w:sz w:val="18"/>
      <w:szCs w:val="18"/>
    </w:rPr>
  </w:style>
  <w:style w:type="character" w:customStyle="1" w:styleId="BalloonTextChar">
    <w:name w:val="Balloon Text Char"/>
    <w:basedOn w:val="DefaultParagraphFont"/>
    <w:link w:val="BalloonText"/>
    <w:semiHidden/>
    <w:rsid w:val="00757624"/>
    <w:rPr>
      <w:rFonts w:ascii="Segoe UI" w:hAnsi="Segoe UI" w:cs="Segoe UI"/>
      <w:color w:val="00000A"/>
      <w:sz w:val="18"/>
      <w:szCs w:val="18"/>
    </w:rPr>
  </w:style>
  <w:style w:type="paragraph" w:styleId="Revision">
    <w:name w:val="Revision"/>
    <w:hidden/>
    <w:semiHidden/>
    <w:rsid w:val="00880AF4"/>
    <w:pPr>
      <w:suppressAutoHyphens w:val="0"/>
    </w:pPr>
    <w:rPr>
      <w:rFonts w:ascii="Times New Roman" w:hAnsi="Times New Roman"/>
      <w:color w:val="00000A"/>
      <w:sz w:val="24"/>
    </w:rPr>
  </w:style>
  <w:style w:type="paragraph" w:styleId="Header">
    <w:name w:val="header"/>
    <w:basedOn w:val="Normal"/>
    <w:link w:val="HeaderChar"/>
    <w:unhideWhenUsed/>
    <w:rsid w:val="00533327"/>
    <w:pPr>
      <w:tabs>
        <w:tab w:val="center" w:pos="4680"/>
        <w:tab w:val="right" w:pos="9360"/>
      </w:tabs>
    </w:pPr>
  </w:style>
  <w:style w:type="character" w:customStyle="1" w:styleId="HeaderChar">
    <w:name w:val="Header Char"/>
    <w:basedOn w:val="DefaultParagraphFont"/>
    <w:link w:val="Header"/>
    <w:rsid w:val="00533327"/>
    <w:rPr>
      <w:rFonts w:ascii="Times New Roman" w:hAnsi="Times New Roman"/>
      <w:color w:val="00000A"/>
      <w:sz w:val="24"/>
    </w:rPr>
  </w:style>
  <w:style w:type="paragraph" w:styleId="Footer">
    <w:name w:val="footer"/>
    <w:basedOn w:val="Normal"/>
    <w:link w:val="FooterChar"/>
    <w:unhideWhenUsed/>
    <w:rsid w:val="00533327"/>
    <w:pPr>
      <w:tabs>
        <w:tab w:val="center" w:pos="4680"/>
        <w:tab w:val="right" w:pos="9360"/>
      </w:tabs>
    </w:pPr>
  </w:style>
  <w:style w:type="character" w:customStyle="1" w:styleId="FooterChar">
    <w:name w:val="Footer Char"/>
    <w:basedOn w:val="DefaultParagraphFont"/>
    <w:link w:val="Footer"/>
    <w:rsid w:val="00533327"/>
    <w:rPr>
      <w:rFonts w:ascii="Times New Roman" w:hAnsi="Times New Roman"/>
      <w:color w:val="00000A"/>
      <w:sz w:val="24"/>
    </w:rPr>
  </w:style>
  <w:style w:type="character" w:styleId="PlaceholderText">
    <w:name w:val="Placeholder Text"/>
    <w:basedOn w:val="DefaultParagraphFont"/>
    <w:semiHidden/>
    <w:rsid w:val="00534706"/>
    <w:rPr>
      <w:color w:val="666666"/>
    </w:rPr>
  </w:style>
  <w:style w:type="character" w:customStyle="1" w:styleId="PlainTextChar">
    <w:name w:val="Plain Text Char"/>
    <w:basedOn w:val="DefaultParagraphFont"/>
    <w:link w:val="PlainText"/>
    <w:qFormat/>
    <w:rsid w:val="005522AF"/>
    <w:rPr>
      <w:rFonts w:ascii="Courier New" w:eastAsia="Batang" w:hAnsi="Courier New" w:cs="Courier New"/>
      <w:color w:val="00000A"/>
      <w:szCs w:val="20"/>
    </w:rPr>
  </w:style>
  <w:style w:type="character" w:styleId="UnresolvedMention">
    <w:name w:val="Unresolved Mention"/>
    <w:basedOn w:val="DefaultParagraphFont"/>
    <w:uiPriority w:val="99"/>
    <w:semiHidden/>
    <w:unhideWhenUsed/>
    <w:rsid w:val="00F27DD7"/>
    <w:rPr>
      <w:color w:val="605E5C"/>
      <w:shd w:val="clear" w:color="auto" w:fill="E1DFDD"/>
    </w:rPr>
  </w:style>
  <w:style w:type="table" w:styleId="TableGrid">
    <w:name w:val="Table Grid"/>
    <w:basedOn w:val="TableNormal"/>
    <w:rsid w:val="002815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6F0560"/>
    <w:pPr>
      <w:ind w:left="480"/>
    </w:pPr>
    <w:rPr>
      <w:rFonts w:asciiTheme="minorHAnsi" w:hAnsiTheme="minorHAnsi"/>
      <w:sz w:val="20"/>
      <w:szCs w:val="20"/>
    </w:rPr>
  </w:style>
  <w:style w:type="paragraph" w:styleId="TOC4">
    <w:name w:val="toc 4"/>
    <w:basedOn w:val="Normal"/>
    <w:next w:val="Normal"/>
    <w:autoRedefine/>
    <w:semiHidden/>
    <w:unhideWhenUsed/>
    <w:rsid w:val="006F0560"/>
    <w:rPr>
      <w:rFonts w:asciiTheme="minorHAnsi" w:hAnsiTheme="minorHAnsi"/>
      <w:sz w:val="20"/>
      <w:szCs w:val="20"/>
    </w:rPr>
  </w:style>
  <w:style w:type="paragraph" w:styleId="TOC5">
    <w:name w:val="toc 5"/>
    <w:basedOn w:val="Normal"/>
    <w:next w:val="Normal"/>
    <w:autoRedefine/>
    <w:semiHidden/>
    <w:unhideWhenUsed/>
    <w:rsid w:val="006F0560"/>
    <w:pPr>
      <w:ind w:left="960"/>
    </w:pPr>
    <w:rPr>
      <w:rFonts w:asciiTheme="minorHAnsi" w:hAnsiTheme="minorHAnsi"/>
      <w:sz w:val="20"/>
      <w:szCs w:val="20"/>
    </w:rPr>
  </w:style>
  <w:style w:type="paragraph" w:styleId="TOC6">
    <w:name w:val="toc 6"/>
    <w:basedOn w:val="Normal"/>
    <w:next w:val="Normal"/>
    <w:autoRedefine/>
    <w:semiHidden/>
    <w:unhideWhenUsed/>
    <w:rsid w:val="006F0560"/>
    <w:pPr>
      <w:ind w:left="1200"/>
    </w:pPr>
    <w:rPr>
      <w:rFonts w:asciiTheme="minorHAnsi" w:hAnsiTheme="minorHAnsi"/>
      <w:sz w:val="20"/>
      <w:szCs w:val="20"/>
    </w:rPr>
  </w:style>
  <w:style w:type="paragraph" w:styleId="TOC7">
    <w:name w:val="toc 7"/>
    <w:basedOn w:val="Normal"/>
    <w:next w:val="Normal"/>
    <w:autoRedefine/>
    <w:semiHidden/>
    <w:unhideWhenUsed/>
    <w:rsid w:val="006F0560"/>
    <w:pPr>
      <w:ind w:left="1440"/>
    </w:pPr>
    <w:rPr>
      <w:rFonts w:asciiTheme="minorHAnsi" w:hAnsiTheme="minorHAnsi"/>
      <w:sz w:val="20"/>
      <w:szCs w:val="20"/>
    </w:rPr>
  </w:style>
  <w:style w:type="paragraph" w:styleId="TOC8">
    <w:name w:val="toc 8"/>
    <w:basedOn w:val="Normal"/>
    <w:next w:val="Normal"/>
    <w:autoRedefine/>
    <w:semiHidden/>
    <w:unhideWhenUsed/>
    <w:rsid w:val="006F0560"/>
    <w:pPr>
      <w:ind w:left="1680"/>
    </w:pPr>
    <w:rPr>
      <w:rFonts w:asciiTheme="minorHAnsi" w:hAnsiTheme="minorHAnsi"/>
      <w:sz w:val="20"/>
      <w:szCs w:val="20"/>
    </w:rPr>
  </w:style>
  <w:style w:type="paragraph" w:styleId="TOC9">
    <w:name w:val="toc 9"/>
    <w:basedOn w:val="Normal"/>
    <w:next w:val="Normal"/>
    <w:autoRedefine/>
    <w:semiHidden/>
    <w:unhideWhenUsed/>
    <w:rsid w:val="006F0560"/>
    <w:pPr>
      <w:ind w:left="1920"/>
    </w:pPr>
    <w:rPr>
      <w:rFonts w:asciiTheme="minorHAnsi" w:hAnsiTheme="minorHAnsi"/>
      <w:sz w:val="20"/>
      <w:szCs w:val="20"/>
    </w:rPr>
  </w:style>
  <w:style w:type="character" w:styleId="PageNumber">
    <w:name w:val="page number"/>
    <w:basedOn w:val="DefaultParagraphFont"/>
    <w:semiHidden/>
    <w:unhideWhenUsed/>
    <w:rsid w:val="006F05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hyperlink" Target="https://lpdaac.usgs.gov/data/get-started-data/collection-overview/missions/s-npp-nasa-viirs-overview/" TargetMode="External"/><Relationship Id="rId3" Type="http://schemas.openxmlformats.org/officeDocument/2006/relationships/styles" Target="styles.xml"/><Relationship Id="rId21" Type="http://schemas.openxmlformats.org/officeDocument/2006/relationships/hyperlink" Target="https://gmao.gsfc.nasa.gov/GMAO_products/"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hyperlink" Target="https://www.hdfgroup.org/tag/hdfview-release/"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lpdaac.usgs.gov/tools/data-poo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hdfeos.org/"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viirsland.gsfc.nasa.gov/Products/NASA/ET_ESDR.html" TargetMode="External"/><Relationship Id="rId28" Type="http://schemas.openxmlformats.org/officeDocument/2006/relationships/hyperlink" Target="https://search.earthdata.nasa.gov/search" TargetMode="Externa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hyperlink" Target="https://lpdaac.usgs.gov/"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42B37-BA55-CB4C-9D88-CFB68DC67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11970</Words>
  <Characters>68234</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VIIRS Terrestrial Evapotranspiration (ET) Data Products (VNP16/VJ116) User Guide</vt:lpstr>
    </vt:vector>
  </TitlesOfParts>
  <Company>Microsoft</Company>
  <LinksUpToDate>false</LinksUpToDate>
  <CharactersWithSpaces>80044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VIIRS Terrestrial Evapotranspiration (ET) Data Products (VNP16/VJ116) User Guide</dc:title>
  <dc:subject/>
  <dc:creator>Maosheng Zhao;Qiaozhen Mu;Arthur Endsley;John Kimball;Sadashiva Devadiga;Steven Running</dc:creator>
  <dc:description/>
  <cp:lastModifiedBy>Zhao, Maosheng (GSFC-619.0)[SCIENCE SYSTEMS AND APPLICATIONS INC]</cp:lastModifiedBy>
  <cp:revision>3</cp:revision>
  <cp:lastPrinted>2024-10-29T13:16:00Z</cp:lastPrinted>
  <dcterms:created xsi:type="dcterms:W3CDTF">2024-10-29T13:16:00Z</dcterms:created>
  <dcterms:modified xsi:type="dcterms:W3CDTF">2024-10-29T13:16:00Z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/home/arthur/library.bib</vt:lpwstr>
  </property>
  <property fmtid="{D5CDD505-2E9C-101B-9397-08002B2CF9AE}" pid="3" name="date">
    <vt:lpwstr>Version 2.0, September 2023</vt:lpwstr>
  </property>
</Properties>
</file>