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D6B04F" w14:textId="4443166B" w:rsidR="0078185C" w:rsidRDefault="00000000">
      <w:pPr>
        <w:rPr>
          <w:b/>
          <w:bCs/>
          <w:sz w:val="36"/>
        </w:rPr>
      </w:pPr>
      <w:r>
        <w:rPr>
          <w:b/>
          <w:bCs/>
          <w:sz w:val="36"/>
        </w:rPr>
        <w:t xml:space="preserve"> </w:t>
      </w:r>
    </w:p>
    <w:p w14:paraId="7DFA2885" w14:textId="77777777" w:rsidR="0078185C" w:rsidRDefault="00000000">
      <w:pPr>
        <w:jc w:val="center"/>
        <w:rPr>
          <w:b/>
          <w:bCs/>
          <w:sz w:val="32"/>
        </w:rPr>
      </w:pPr>
      <w:r>
        <w:rPr>
          <w:b/>
          <w:bCs/>
          <w:sz w:val="32"/>
        </w:rPr>
        <w:t>VIIRS Terrestrial Gross and Net Primary Productivity (GPP/NPP) User Guide</w:t>
      </w:r>
    </w:p>
    <w:p w14:paraId="672A6659" w14:textId="77777777" w:rsidR="0078185C" w:rsidRDefault="0078185C">
      <w:pPr>
        <w:jc w:val="center"/>
        <w:rPr>
          <w:b/>
          <w:bCs/>
          <w:sz w:val="32"/>
        </w:rPr>
      </w:pPr>
    </w:p>
    <w:p w14:paraId="0A37501D" w14:textId="77777777" w:rsidR="0078185C" w:rsidRDefault="00000000">
      <w:pPr>
        <w:tabs>
          <w:tab w:val="center" w:pos="4680"/>
          <w:tab w:val="right" w:pos="9360"/>
        </w:tabs>
        <w:rPr>
          <w:b/>
          <w:bCs/>
        </w:rPr>
      </w:pPr>
      <w:r>
        <w:rPr>
          <w:b/>
          <w:bCs/>
          <w:sz w:val="32"/>
          <w:szCs w:val="32"/>
        </w:rPr>
        <w:tab/>
      </w:r>
      <w:r>
        <w:rPr>
          <w:b/>
          <w:bCs/>
        </w:rPr>
        <w:tab/>
      </w:r>
    </w:p>
    <w:p w14:paraId="6ED838F6" w14:textId="77777777" w:rsidR="0078185C" w:rsidRDefault="00000000">
      <w:pPr>
        <w:jc w:val="center"/>
        <w:rPr>
          <w:b/>
          <w:bCs/>
        </w:rPr>
      </w:pPr>
      <w:proofErr w:type="spellStart"/>
      <w:r>
        <w:rPr>
          <w:b/>
          <w:bCs/>
        </w:rPr>
        <w:t>Maosheng</w:t>
      </w:r>
      <w:proofErr w:type="spellEnd"/>
      <w:r>
        <w:rPr>
          <w:b/>
          <w:bCs/>
        </w:rPr>
        <w:t xml:space="preserve"> Zhao</w:t>
      </w:r>
    </w:p>
    <w:p w14:paraId="5B68C4E4" w14:textId="77777777" w:rsidR="0078185C" w:rsidRDefault="00000000">
      <w:pPr>
        <w:jc w:val="center"/>
        <w:rPr>
          <w:b/>
          <w:bCs/>
          <w:i/>
          <w:iCs/>
          <w:sz w:val="20"/>
          <w:szCs w:val="20"/>
        </w:rPr>
      </w:pPr>
      <w:r>
        <w:rPr>
          <w:b/>
          <w:bCs/>
          <w:i/>
          <w:iCs/>
          <w:sz w:val="20"/>
          <w:szCs w:val="20"/>
        </w:rPr>
        <w:t>(SSAI, NASA GSFC)</w:t>
      </w:r>
    </w:p>
    <w:p w14:paraId="0E8F2DEA" w14:textId="77777777" w:rsidR="0078185C" w:rsidRDefault="00000000">
      <w:pPr>
        <w:jc w:val="center"/>
        <w:rPr>
          <w:b/>
          <w:bCs/>
        </w:rPr>
      </w:pPr>
      <w:r>
        <w:rPr>
          <w:b/>
          <w:bCs/>
        </w:rPr>
        <w:t>Arthur Endsley, John Kimball</w:t>
      </w:r>
    </w:p>
    <w:p w14:paraId="31768006" w14:textId="77777777" w:rsidR="0078185C" w:rsidRDefault="00000000">
      <w:pPr>
        <w:jc w:val="center"/>
        <w:rPr>
          <w:b/>
          <w:bCs/>
          <w:i/>
          <w:iCs/>
          <w:sz w:val="20"/>
          <w:szCs w:val="20"/>
        </w:rPr>
      </w:pPr>
      <w:r>
        <w:rPr>
          <w:b/>
          <w:bCs/>
          <w:i/>
          <w:iCs/>
          <w:sz w:val="20"/>
          <w:szCs w:val="20"/>
        </w:rPr>
        <w:t>(University of Montana)</w:t>
      </w:r>
    </w:p>
    <w:p w14:paraId="4920ACCA" w14:textId="77777777" w:rsidR="0078185C" w:rsidRDefault="00000000">
      <w:pPr>
        <w:jc w:val="center"/>
        <w:rPr>
          <w:b/>
          <w:bCs/>
        </w:rPr>
      </w:pPr>
      <w:proofErr w:type="spellStart"/>
      <w:r>
        <w:rPr>
          <w:b/>
          <w:bCs/>
        </w:rPr>
        <w:t>Sadashiva</w:t>
      </w:r>
      <w:proofErr w:type="spellEnd"/>
      <w:r>
        <w:rPr>
          <w:b/>
          <w:bCs/>
        </w:rPr>
        <w:t xml:space="preserve"> </w:t>
      </w:r>
      <w:proofErr w:type="spellStart"/>
      <w:r>
        <w:rPr>
          <w:b/>
          <w:bCs/>
        </w:rPr>
        <w:t>Devadiga</w:t>
      </w:r>
      <w:proofErr w:type="spellEnd"/>
    </w:p>
    <w:p w14:paraId="4290C2CE" w14:textId="77777777" w:rsidR="0078185C" w:rsidRDefault="00000000">
      <w:pPr>
        <w:jc w:val="center"/>
        <w:rPr>
          <w:b/>
          <w:bCs/>
          <w:i/>
          <w:iCs/>
          <w:sz w:val="20"/>
          <w:szCs w:val="20"/>
        </w:rPr>
      </w:pPr>
      <w:r>
        <w:rPr>
          <w:b/>
          <w:bCs/>
          <w:i/>
          <w:iCs/>
          <w:sz w:val="20"/>
          <w:szCs w:val="20"/>
        </w:rPr>
        <w:t>(NASA GSFC)</w:t>
      </w:r>
    </w:p>
    <w:p w14:paraId="086DBA21" w14:textId="77777777" w:rsidR="0078185C" w:rsidRDefault="00000000">
      <w:pPr>
        <w:jc w:val="center"/>
        <w:rPr>
          <w:b/>
          <w:bCs/>
        </w:rPr>
      </w:pPr>
      <w:r>
        <w:rPr>
          <w:b/>
          <w:bCs/>
        </w:rPr>
        <w:t>Steven Running</w:t>
      </w:r>
    </w:p>
    <w:p w14:paraId="5C155E0B" w14:textId="77777777" w:rsidR="0078185C" w:rsidRDefault="00000000">
      <w:pPr>
        <w:jc w:val="center"/>
        <w:rPr>
          <w:b/>
          <w:bCs/>
          <w:i/>
          <w:iCs/>
          <w:sz w:val="20"/>
          <w:szCs w:val="20"/>
        </w:rPr>
      </w:pPr>
      <w:r>
        <w:rPr>
          <w:b/>
          <w:bCs/>
          <w:i/>
          <w:iCs/>
          <w:sz w:val="20"/>
          <w:szCs w:val="20"/>
        </w:rPr>
        <w:t>(University of Montana)</w:t>
      </w:r>
    </w:p>
    <w:p w14:paraId="5DAB6C7B" w14:textId="77777777" w:rsidR="0078185C" w:rsidRDefault="0078185C">
      <w:pPr>
        <w:jc w:val="center"/>
        <w:rPr>
          <w:b/>
          <w:bCs/>
        </w:rPr>
      </w:pPr>
    </w:p>
    <w:p w14:paraId="02EB378F" w14:textId="77777777" w:rsidR="0078185C" w:rsidRDefault="0078185C">
      <w:pPr>
        <w:jc w:val="center"/>
        <w:rPr>
          <w:b/>
          <w:bCs/>
          <w:i/>
          <w:iCs/>
          <w:sz w:val="20"/>
          <w:szCs w:val="20"/>
        </w:rPr>
      </w:pPr>
    </w:p>
    <w:p w14:paraId="6A05A809" w14:textId="77777777" w:rsidR="0078185C" w:rsidRDefault="0078185C">
      <w:pPr>
        <w:jc w:val="center"/>
        <w:rPr>
          <w:b/>
          <w:bCs/>
          <w:sz w:val="32"/>
          <w:szCs w:val="32"/>
        </w:rPr>
      </w:pPr>
    </w:p>
    <w:p w14:paraId="5A39BBE3" w14:textId="77777777" w:rsidR="0078185C" w:rsidRDefault="00000000">
      <w:pPr>
        <w:jc w:val="center"/>
        <w:rPr>
          <w:sz w:val="20"/>
        </w:rPr>
      </w:pPr>
      <w:r>
        <w:rPr>
          <w:noProof/>
        </w:rPr>
        <w:drawing>
          <wp:inline distT="0" distB="0" distL="0" distR="0" wp14:anchorId="775E1EFF" wp14:editId="07777777">
            <wp:extent cx="5943600" cy="3000375"/>
            <wp:effectExtent l="0" t="0" r="0" b="0"/>
            <wp:docPr id="1"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4" descr="Diagram&#10;&#10;Description automatically generated"/>
                    <pic:cNvPicPr>
                      <a:picLocks noChangeAspect="1" noChangeArrowheads="1"/>
                    </pic:cNvPicPr>
                  </pic:nvPicPr>
                  <pic:blipFill>
                    <a:blip r:embed="rId8"/>
                    <a:stretch>
                      <a:fillRect/>
                    </a:stretch>
                  </pic:blipFill>
                  <pic:spPr bwMode="auto">
                    <a:xfrm>
                      <a:off x="0" y="0"/>
                      <a:ext cx="5943600" cy="3000375"/>
                    </a:xfrm>
                    <a:prstGeom prst="rect">
                      <a:avLst/>
                    </a:prstGeom>
                  </pic:spPr>
                </pic:pic>
              </a:graphicData>
            </a:graphic>
          </wp:inline>
        </w:drawing>
      </w:r>
    </w:p>
    <w:p w14:paraId="41C8F396" w14:textId="77777777" w:rsidR="0078185C" w:rsidRDefault="0078185C">
      <w:pPr>
        <w:rPr>
          <w:sz w:val="20"/>
        </w:rPr>
      </w:pPr>
    </w:p>
    <w:p w14:paraId="02614873" w14:textId="77777777" w:rsidR="0078185C" w:rsidRDefault="00000000">
      <w:pPr>
        <w:jc w:val="right"/>
        <w:rPr>
          <w:sz w:val="18"/>
        </w:rPr>
      </w:pPr>
      <w:r>
        <w:rPr>
          <w:sz w:val="18"/>
        </w:rPr>
        <w:t>.</w:t>
      </w:r>
    </w:p>
    <w:p w14:paraId="2E338F68" w14:textId="02CBBD2C" w:rsidR="0078185C" w:rsidRDefault="00000000">
      <w:pPr>
        <w:jc w:val="center"/>
        <w:rPr>
          <w:b/>
          <w:bCs/>
        </w:rPr>
      </w:pPr>
      <w:r>
        <w:rPr>
          <w:b/>
          <w:bCs/>
        </w:rPr>
        <w:t xml:space="preserve">Version </w:t>
      </w:r>
      <w:r w:rsidR="00F921CD">
        <w:rPr>
          <w:b/>
          <w:bCs/>
        </w:rPr>
        <w:t>1</w:t>
      </w:r>
      <w:r>
        <w:rPr>
          <w:b/>
          <w:bCs/>
        </w:rPr>
        <w:t>.0</w:t>
      </w:r>
      <w:r w:rsidR="00315A2B">
        <w:rPr>
          <w:b/>
          <w:bCs/>
        </w:rPr>
        <w:t xml:space="preserve"> for the Collection 2.0 VIIRS Data Products</w:t>
      </w:r>
    </w:p>
    <w:p w14:paraId="608CA8B0" w14:textId="14829142" w:rsidR="00A24057" w:rsidRDefault="00DD52A0" w:rsidP="00A24057">
      <w:pPr>
        <w:jc w:val="center"/>
        <w:rPr>
          <w:b/>
          <w:bCs/>
        </w:rPr>
      </w:pPr>
      <w:r>
        <w:rPr>
          <w:b/>
          <w:bCs/>
        </w:rPr>
        <w:t>October</w:t>
      </w:r>
      <w:r w:rsidR="004720B6">
        <w:rPr>
          <w:b/>
          <w:bCs/>
        </w:rPr>
        <w:t xml:space="preserve"> 202</w:t>
      </w:r>
      <w:r>
        <w:rPr>
          <w:b/>
          <w:bCs/>
        </w:rPr>
        <w:t>4</w:t>
      </w:r>
    </w:p>
    <w:p w14:paraId="4C32601E" w14:textId="77777777" w:rsidR="00A24057" w:rsidRDefault="00A24057" w:rsidP="00A24057">
      <w:pPr>
        <w:jc w:val="center"/>
        <w:rPr>
          <w:b/>
          <w:bCs/>
        </w:rPr>
      </w:pPr>
    </w:p>
    <w:p w14:paraId="263E8FFE" w14:textId="77777777" w:rsidR="00A24057" w:rsidRDefault="00A24057" w:rsidP="00A24057">
      <w:pPr>
        <w:jc w:val="center"/>
        <w:rPr>
          <w:b/>
          <w:bCs/>
        </w:rPr>
      </w:pPr>
    </w:p>
    <w:p w14:paraId="1DA31B07" w14:textId="6F153EF8" w:rsidR="00A24057" w:rsidRDefault="00A24057" w:rsidP="00A24057">
      <w:pPr>
        <w:jc w:val="center"/>
        <w:rPr>
          <w:b/>
          <w:bCs/>
        </w:rPr>
        <w:sectPr w:rsidR="00A24057">
          <w:footerReference w:type="default" r:id="rId9"/>
          <w:pgSz w:w="12240" w:h="15840"/>
          <w:pgMar w:top="1440" w:right="1440" w:bottom="1440" w:left="1440" w:header="0" w:footer="720" w:gutter="0"/>
          <w:cols w:space="720"/>
          <w:formProt w:val="0"/>
          <w:docGrid w:linePitch="360"/>
        </w:sectPr>
      </w:pPr>
    </w:p>
    <w:p w14:paraId="72A3D3EC" w14:textId="77777777" w:rsidR="0078185C" w:rsidRDefault="0078185C">
      <w:pPr>
        <w:rPr>
          <w:b/>
          <w:bCs/>
          <w:sz w:val="32"/>
          <w:szCs w:val="32"/>
        </w:rPr>
      </w:pPr>
    </w:p>
    <w:bookmarkStart w:id="0" w:name="_Toc181041971" w:displacedByCustomXml="next"/>
    <w:sdt>
      <w:sdtPr>
        <w:rPr>
          <w:rFonts w:ascii="Times New Roman" w:eastAsia="Times New Roman" w:hAnsi="Times New Roman" w:cs="Times New Roman"/>
          <w:b w:val="0"/>
          <w:bCs w:val="0"/>
          <w:color w:val="auto"/>
          <w:sz w:val="24"/>
          <w:szCs w:val="24"/>
        </w:rPr>
        <w:id w:val="1667292764"/>
        <w:docPartObj>
          <w:docPartGallery w:val="Table of Contents"/>
          <w:docPartUnique/>
        </w:docPartObj>
      </w:sdtPr>
      <w:sdtContent>
        <w:p w14:paraId="22E0FC93" w14:textId="77777777" w:rsidR="0078185C" w:rsidRDefault="00000000">
          <w:pPr>
            <w:pStyle w:val="TOCHeading"/>
            <w:jc w:val="center"/>
            <w:rPr>
              <w:rFonts w:ascii="Times New Roman" w:hAnsi="Times New Roman" w:cs="Times New Roman"/>
              <w:b w:val="0"/>
              <w:color w:val="000000" w:themeColor="text1"/>
              <w:sz w:val="24"/>
              <w:szCs w:val="24"/>
            </w:rPr>
          </w:pPr>
          <w:r>
            <w:rPr>
              <w:rFonts w:ascii="Times New Roman" w:hAnsi="Times New Roman" w:cs="Times New Roman"/>
              <w:color w:val="000000" w:themeColor="text1"/>
              <w:sz w:val="24"/>
              <w:szCs w:val="24"/>
            </w:rPr>
            <w:t>Table of Contents</w:t>
          </w:r>
          <w:bookmarkEnd w:id="0"/>
        </w:p>
        <w:p w14:paraId="6DF31D7E" w14:textId="1CEA2D39" w:rsidR="007C1923" w:rsidRDefault="00000000">
          <w:pPr>
            <w:pStyle w:val="TOC1"/>
            <w:rPr>
              <w:rFonts w:eastAsiaTheme="minorEastAsia" w:cstheme="minorBidi"/>
              <w:b w:val="0"/>
              <w:bCs w:val="0"/>
              <w:i w:val="0"/>
              <w:iCs w:val="0"/>
              <w:noProof/>
              <w:kern w:val="2"/>
              <w14:ligatures w14:val="standardContextual"/>
            </w:rPr>
          </w:pPr>
          <w:r>
            <w:fldChar w:fldCharType="begin"/>
          </w:r>
          <w:r>
            <w:rPr>
              <w:rStyle w:val="IndexLink"/>
              <w:webHidden/>
            </w:rPr>
            <w:instrText>TOC \z \o "1-3" \u \h</w:instrText>
          </w:r>
          <w:r>
            <w:rPr>
              <w:rStyle w:val="IndexLink"/>
            </w:rPr>
            <w:fldChar w:fldCharType="separate"/>
          </w:r>
          <w:hyperlink w:anchor="_Toc181041971" w:history="1"/>
        </w:p>
        <w:p w14:paraId="22BF5BEB" w14:textId="6C2E82E5" w:rsidR="007C1923" w:rsidRDefault="007C1923">
          <w:pPr>
            <w:pStyle w:val="TOC1"/>
            <w:rPr>
              <w:rFonts w:eastAsiaTheme="minorEastAsia" w:cstheme="minorBidi"/>
              <w:b w:val="0"/>
              <w:bCs w:val="0"/>
              <w:i w:val="0"/>
              <w:iCs w:val="0"/>
              <w:noProof/>
              <w:kern w:val="2"/>
              <w14:ligatures w14:val="standardContextual"/>
            </w:rPr>
          </w:pPr>
          <w:hyperlink w:anchor="_Toc181041972" w:history="1">
            <w:r w:rsidRPr="003157AE">
              <w:rPr>
                <w:rStyle w:val="Hyperlink"/>
                <w:noProof/>
              </w:rPr>
              <w:t>Preface</w:t>
            </w:r>
            <w:r>
              <w:rPr>
                <w:noProof/>
                <w:webHidden/>
              </w:rPr>
              <w:tab/>
            </w:r>
            <w:r>
              <w:rPr>
                <w:noProof/>
                <w:webHidden/>
              </w:rPr>
              <w:fldChar w:fldCharType="begin"/>
            </w:r>
            <w:r>
              <w:rPr>
                <w:noProof/>
                <w:webHidden/>
              </w:rPr>
              <w:instrText xml:space="preserve"> PAGEREF _Toc181041972 \h </w:instrText>
            </w:r>
            <w:r>
              <w:rPr>
                <w:noProof/>
                <w:webHidden/>
              </w:rPr>
            </w:r>
            <w:r>
              <w:rPr>
                <w:noProof/>
                <w:webHidden/>
              </w:rPr>
              <w:fldChar w:fldCharType="separate"/>
            </w:r>
            <w:r w:rsidR="00E712A6">
              <w:rPr>
                <w:noProof/>
                <w:webHidden/>
              </w:rPr>
              <w:t>1</w:t>
            </w:r>
            <w:r>
              <w:rPr>
                <w:noProof/>
                <w:webHidden/>
              </w:rPr>
              <w:fldChar w:fldCharType="end"/>
            </w:r>
          </w:hyperlink>
        </w:p>
        <w:p w14:paraId="2236047D" w14:textId="097793BE" w:rsidR="007C1923" w:rsidRDefault="007C1923">
          <w:pPr>
            <w:pStyle w:val="TOC1"/>
            <w:rPr>
              <w:rFonts w:eastAsiaTheme="minorEastAsia" w:cstheme="minorBidi"/>
              <w:b w:val="0"/>
              <w:bCs w:val="0"/>
              <w:i w:val="0"/>
              <w:iCs w:val="0"/>
              <w:noProof/>
              <w:kern w:val="2"/>
              <w14:ligatures w14:val="standardContextual"/>
            </w:rPr>
          </w:pPr>
          <w:hyperlink w:anchor="_Toc181041973" w:history="1">
            <w:r w:rsidRPr="003157AE">
              <w:rPr>
                <w:rStyle w:val="Hyperlink"/>
                <w:noProof/>
              </w:rPr>
              <w:t>Synopsis</w:t>
            </w:r>
            <w:r>
              <w:rPr>
                <w:noProof/>
                <w:webHidden/>
              </w:rPr>
              <w:tab/>
            </w:r>
            <w:r>
              <w:rPr>
                <w:noProof/>
                <w:webHidden/>
              </w:rPr>
              <w:fldChar w:fldCharType="begin"/>
            </w:r>
            <w:r>
              <w:rPr>
                <w:noProof/>
                <w:webHidden/>
              </w:rPr>
              <w:instrText xml:space="preserve"> PAGEREF _Toc181041973 \h </w:instrText>
            </w:r>
            <w:r>
              <w:rPr>
                <w:noProof/>
                <w:webHidden/>
              </w:rPr>
            </w:r>
            <w:r>
              <w:rPr>
                <w:noProof/>
                <w:webHidden/>
              </w:rPr>
              <w:fldChar w:fldCharType="separate"/>
            </w:r>
            <w:r w:rsidR="00E712A6">
              <w:rPr>
                <w:noProof/>
                <w:webHidden/>
              </w:rPr>
              <w:t>1</w:t>
            </w:r>
            <w:r>
              <w:rPr>
                <w:noProof/>
                <w:webHidden/>
              </w:rPr>
              <w:fldChar w:fldCharType="end"/>
            </w:r>
          </w:hyperlink>
        </w:p>
        <w:p w14:paraId="0D56F925" w14:textId="77E1345C" w:rsidR="007C1923" w:rsidRDefault="007C1923">
          <w:pPr>
            <w:pStyle w:val="TOC1"/>
            <w:rPr>
              <w:rFonts w:eastAsiaTheme="minorEastAsia" w:cstheme="minorBidi"/>
              <w:b w:val="0"/>
              <w:bCs w:val="0"/>
              <w:i w:val="0"/>
              <w:iCs w:val="0"/>
              <w:noProof/>
              <w:kern w:val="2"/>
              <w14:ligatures w14:val="standardContextual"/>
            </w:rPr>
          </w:pPr>
          <w:hyperlink w:anchor="_Toc181041974" w:history="1">
            <w:r w:rsidRPr="003157AE">
              <w:rPr>
                <w:rStyle w:val="Hyperlink"/>
                <w:noProof/>
              </w:rPr>
              <w:t>1. Introduction of the Algorithm</w:t>
            </w:r>
            <w:r>
              <w:rPr>
                <w:noProof/>
                <w:webHidden/>
              </w:rPr>
              <w:tab/>
            </w:r>
            <w:r>
              <w:rPr>
                <w:noProof/>
                <w:webHidden/>
              </w:rPr>
              <w:fldChar w:fldCharType="begin"/>
            </w:r>
            <w:r>
              <w:rPr>
                <w:noProof/>
                <w:webHidden/>
              </w:rPr>
              <w:instrText xml:space="preserve"> PAGEREF _Toc181041974 \h </w:instrText>
            </w:r>
            <w:r>
              <w:rPr>
                <w:noProof/>
                <w:webHidden/>
              </w:rPr>
            </w:r>
            <w:r>
              <w:rPr>
                <w:noProof/>
                <w:webHidden/>
              </w:rPr>
              <w:fldChar w:fldCharType="separate"/>
            </w:r>
            <w:r w:rsidR="00E712A6">
              <w:rPr>
                <w:noProof/>
                <w:webHidden/>
              </w:rPr>
              <w:t>2</w:t>
            </w:r>
            <w:r>
              <w:rPr>
                <w:noProof/>
                <w:webHidden/>
              </w:rPr>
              <w:fldChar w:fldCharType="end"/>
            </w:r>
          </w:hyperlink>
        </w:p>
        <w:p w14:paraId="5CA0A9BA" w14:textId="1C9B287F"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75" w:history="1">
            <w:r w:rsidRPr="003157AE">
              <w:rPr>
                <w:rStyle w:val="Hyperlink"/>
                <w:noProof/>
              </w:rPr>
              <w:t>1.1. Relating NDVI, APAR, GPP, and NPP</w:t>
            </w:r>
            <w:r>
              <w:rPr>
                <w:noProof/>
                <w:webHidden/>
              </w:rPr>
              <w:tab/>
            </w:r>
            <w:r>
              <w:rPr>
                <w:noProof/>
                <w:webHidden/>
              </w:rPr>
              <w:fldChar w:fldCharType="begin"/>
            </w:r>
            <w:r>
              <w:rPr>
                <w:noProof/>
                <w:webHidden/>
              </w:rPr>
              <w:instrText xml:space="preserve"> PAGEREF _Toc181041975 \h </w:instrText>
            </w:r>
            <w:r>
              <w:rPr>
                <w:noProof/>
                <w:webHidden/>
              </w:rPr>
            </w:r>
            <w:r>
              <w:rPr>
                <w:noProof/>
                <w:webHidden/>
              </w:rPr>
              <w:fldChar w:fldCharType="separate"/>
            </w:r>
            <w:r w:rsidR="00E712A6">
              <w:rPr>
                <w:noProof/>
                <w:webHidden/>
              </w:rPr>
              <w:t>2</w:t>
            </w:r>
            <w:r>
              <w:rPr>
                <w:noProof/>
                <w:webHidden/>
              </w:rPr>
              <w:fldChar w:fldCharType="end"/>
            </w:r>
          </w:hyperlink>
        </w:p>
        <w:p w14:paraId="1A9C21A2" w14:textId="06CD43F1"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76" w:history="1">
            <w:r w:rsidRPr="003157AE">
              <w:rPr>
                <w:rStyle w:val="Hyperlink"/>
                <w:noProof/>
              </w:rPr>
              <w:t xml:space="preserve">1.2. Biophysical variability of  </w:t>
            </w:r>
            <w:r w:rsidRPr="003157AE">
              <w:rPr>
                <w:rStyle w:val="Hyperlink"/>
                <w:rFonts w:ascii="Symbol" w:eastAsia="Symbol" w:hAnsi="Symbol" w:cs="Symbol"/>
                <w:noProof/>
              </w:rPr>
              <w:t></w:t>
            </w:r>
            <w:r>
              <w:rPr>
                <w:noProof/>
                <w:webHidden/>
              </w:rPr>
              <w:tab/>
            </w:r>
            <w:r>
              <w:rPr>
                <w:noProof/>
                <w:webHidden/>
              </w:rPr>
              <w:fldChar w:fldCharType="begin"/>
            </w:r>
            <w:r>
              <w:rPr>
                <w:noProof/>
                <w:webHidden/>
              </w:rPr>
              <w:instrText xml:space="preserve"> PAGEREF _Toc181041976 \h </w:instrText>
            </w:r>
            <w:r>
              <w:rPr>
                <w:noProof/>
                <w:webHidden/>
              </w:rPr>
            </w:r>
            <w:r>
              <w:rPr>
                <w:noProof/>
                <w:webHidden/>
              </w:rPr>
              <w:fldChar w:fldCharType="separate"/>
            </w:r>
            <w:r w:rsidR="00E712A6">
              <w:rPr>
                <w:noProof/>
                <w:webHidden/>
              </w:rPr>
              <w:t>2</w:t>
            </w:r>
            <w:r>
              <w:rPr>
                <w:noProof/>
                <w:webHidden/>
              </w:rPr>
              <w:fldChar w:fldCharType="end"/>
            </w:r>
          </w:hyperlink>
        </w:p>
        <w:p w14:paraId="72C30E41" w14:textId="1AA9B81F"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77" w:history="1">
            <w:r w:rsidRPr="003157AE">
              <w:rPr>
                <w:rStyle w:val="Hyperlink"/>
                <w:noProof/>
              </w:rPr>
              <w:t>1.3. The VNP17/VJ117 algorithm logic</w:t>
            </w:r>
            <w:r>
              <w:rPr>
                <w:noProof/>
                <w:webHidden/>
              </w:rPr>
              <w:tab/>
            </w:r>
            <w:r>
              <w:rPr>
                <w:noProof/>
                <w:webHidden/>
              </w:rPr>
              <w:fldChar w:fldCharType="begin"/>
            </w:r>
            <w:r>
              <w:rPr>
                <w:noProof/>
                <w:webHidden/>
              </w:rPr>
              <w:instrText xml:space="preserve"> PAGEREF _Toc181041977 \h </w:instrText>
            </w:r>
            <w:r>
              <w:rPr>
                <w:noProof/>
                <w:webHidden/>
              </w:rPr>
            </w:r>
            <w:r>
              <w:rPr>
                <w:noProof/>
                <w:webHidden/>
              </w:rPr>
              <w:fldChar w:fldCharType="separate"/>
            </w:r>
            <w:r w:rsidR="00E712A6">
              <w:rPr>
                <w:noProof/>
                <w:webHidden/>
              </w:rPr>
              <w:t>4</w:t>
            </w:r>
            <w:r>
              <w:rPr>
                <w:noProof/>
                <w:webHidden/>
              </w:rPr>
              <w:fldChar w:fldCharType="end"/>
            </w:r>
          </w:hyperlink>
        </w:p>
        <w:p w14:paraId="4006BB9D" w14:textId="093AA1D8"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78" w:history="1">
            <w:r w:rsidRPr="003157AE">
              <w:rPr>
                <w:rStyle w:val="Hyperlink"/>
                <w:noProof/>
              </w:rPr>
              <w:t>1.3.1. Gross primary productivity.</w:t>
            </w:r>
            <w:r>
              <w:rPr>
                <w:noProof/>
                <w:webHidden/>
              </w:rPr>
              <w:tab/>
            </w:r>
            <w:r>
              <w:rPr>
                <w:noProof/>
                <w:webHidden/>
              </w:rPr>
              <w:fldChar w:fldCharType="begin"/>
            </w:r>
            <w:r>
              <w:rPr>
                <w:noProof/>
                <w:webHidden/>
              </w:rPr>
              <w:instrText xml:space="preserve"> PAGEREF _Toc181041978 \h </w:instrText>
            </w:r>
            <w:r>
              <w:rPr>
                <w:noProof/>
                <w:webHidden/>
              </w:rPr>
            </w:r>
            <w:r>
              <w:rPr>
                <w:noProof/>
                <w:webHidden/>
              </w:rPr>
              <w:fldChar w:fldCharType="separate"/>
            </w:r>
            <w:r w:rsidR="00E712A6">
              <w:rPr>
                <w:noProof/>
                <w:webHidden/>
              </w:rPr>
              <w:t>4</w:t>
            </w:r>
            <w:r>
              <w:rPr>
                <w:noProof/>
                <w:webHidden/>
              </w:rPr>
              <w:fldChar w:fldCharType="end"/>
            </w:r>
          </w:hyperlink>
        </w:p>
        <w:p w14:paraId="5D58545E" w14:textId="4FD98428"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79" w:history="1">
            <w:r w:rsidRPr="003157AE">
              <w:rPr>
                <w:rStyle w:val="Hyperlink"/>
                <w:noProof/>
              </w:rPr>
              <w:t>1.3.2. Daily maintenance respiration and net photosynthesis.</w:t>
            </w:r>
            <w:r>
              <w:rPr>
                <w:noProof/>
                <w:webHidden/>
              </w:rPr>
              <w:tab/>
            </w:r>
            <w:r>
              <w:rPr>
                <w:noProof/>
                <w:webHidden/>
              </w:rPr>
              <w:fldChar w:fldCharType="begin"/>
            </w:r>
            <w:r>
              <w:rPr>
                <w:noProof/>
                <w:webHidden/>
              </w:rPr>
              <w:instrText xml:space="preserve"> PAGEREF _Toc181041979 \h </w:instrText>
            </w:r>
            <w:r>
              <w:rPr>
                <w:noProof/>
                <w:webHidden/>
              </w:rPr>
            </w:r>
            <w:r>
              <w:rPr>
                <w:noProof/>
                <w:webHidden/>
              </w:rPr>
              <w:fldChar w:fldCharType="separate"/>
            </w:r>
            <w:r w:rsidR="00E712A6">
              <w:rPr>
                <w:noProof/>
                <w:webHidden/>
              </w:rPr>
              <w:t>6</w:t>
            </w:r>
            <w:r>
              <w:rPr>
                <w:noProof/>
                <w:webHidden/>
              </w:rPr>
              <w:fldChar w:fldCharType="end"/>
            </w:r>
          </w:hyperlink>
        </w:p>
        <w:p w14:paraId="20A98E4A" w14:textId="038A8FCE"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80" w:history="1">
            <w:r w:rsidRPr="003157AE">
              <w:rPr>
                <w:rStyle w:val="Hyperlink"/>
                <w:noProof/>
              </w:rPr>
              <w:t>1.3.3. Annual live wood maintenance respiration</w:t>
            </w:r>
            <w:r>
              <w:rPr>
                <w:noProof/>
                <w:webHidden/>
              </w:rPr>
              <w:tab/>
            </w:r>
            <w:r>
              <w:rPr>
                <w:noProof/>
                <w:webHidden/>
              </w:rPr>
              <w:fldChar w:fldCharType="begin"/>
            </w:r>
            <w:r>
              <w:rPr>
                <w:noProof/>
                <w:webHidden/>
              </w:rPr>
              <w:instrText xml:space="preserve"> PAGEREF _Toc181041980 \h </w:instrText>
            </w:r>
            <w:r>
              <w:rPr>
                <w:noProof/>
                <w:webHidden/>
              </w:rPr>
            </w:r>
            <w:r>
              <w:rPr>
                <w:noProof/>
                <w:webHidden/>
              </w:rPr>
              <w:fldChar w:fldCharType="separate"/>
            </w:r>
            <w:r w:rsidR="00E712A6">
              <w:rPr>
                <w:noProof/>
                <w:webHidden/>
              </w:rPr>
              <w:t>8</w:t>
            </w:r>
            <w:r>
              <w:rPr>
                <w:noProof/>
                <w:webHidden/>
              </w:rPr>
              <w:fldChar w:fldCharType="end"/>
            </w:r>
          </w:hyperlink>
        </w:p>
        <w:p w14:paraId="23C47531" w14:textId="36635AD2"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81" w:history="1">
            <w:r w:rsidRPr="003157AE">
              <w:rPr>
                <w:rStyle w:val="Hyperlink"/>
                <w:noProof/>
              </w:rPr>
              <w:t>1.3.4. Annual growth respiration and net primary productivity</w:t>
            </w:r>
            <w:r>
              <w:rPr>
                <w:noProof/>
                <w:webHidden/>
              </w:rPr>
              <w:tab/>
            </w:r>
            <w:r>
              <w:rPr>
                <w:noProof/>
                <w:webHidden/>
              </w:rPr>
              <w:fldChar w:fldCharType="begin"/>
            </w:r>
            <w:r>
              <w:rPr>
                <w:noProof/>
                <w:webHidden/>
              </w:rPr>
              <w:instrText xml:space="preserve"> PAGEREF _Toc181041981 \h </w:instrText>
            </w:r>
            <w:r>
              <w:rPr>
                <w:noProof/>
                <w:webHidden/>
              </w:rPr>
            </w:r>
            <w:r>
              <w:rPr>
                <w:noProof/>
                <w:webHidden/>
              </w:rPr>
              <w:fldChar w:fldCharType="separate"/>
            </w:r>
            <w:r w:rsidR="00E712A6">
              <w:rPr>
                <w:noProof/>
                <w:webHidden/>
              </w:rPr>
              <w:t>9</w:t>
            </w:r>
            <w:r>
              <w:rPr>
                <w:noProof/>
                <w:webHidden/>
              </w:rPr>
              <w:fldChar w:fldCharType="end"/>
            </w:r>
          </w:hyperlink>
        </w:p>
        <w:p w14:paraId="42D09724" w14:textId="41413DDE" w:rsidR="007C1923" w:rsidRDefault="007C1923">
          <w:pPr>
            <w:pStyle w:val="TOC1"/>
            <w:rPr>
              <w:rFonts w:eastAsiaTheme="minorEastAsia" w:cstheme="minorBidi"/>
              <w:b w:val="0"/>
              <w:bCs w:val="0"/>
              <w:i w:val="0"/>
              <w:iCs w:val="0"/>
              <w:noProof/>
              <w:kern w:val="2"/>
              <w14:ligatures w14:val="standardContextual"/>
            </w:rPr>
          </w:pPr>
          <w:hyperlink w:anchor="_Toc181041982" w:history="1">
            <w:r w:rsidRPr="003157AE">
              <w:rPr>
                <w:rStyle w:val="Hyperlink"/>
                <w:noProof/>
              </w:rPr>
              <w:t>2.  Operational Details and Primary Uncertainties</w:t>
            </w:r>
            <w:r>
              <w:rPr>
                <w:noProof/>
                <w:webHidden/>
              </w:rPr>
              <w:tab/>
            </w:r>
            <w:r>
              <w:rPr>
                <w:noProof/>
                <w:webHidden/>
              </w:rPr>
              <w:fldChar w:fldCharType="begin"/>
            </w:r>
            <w:r>
              <w:rPr>
                <w:noProof/>
                <w:webHidden/>
              </w:rPr>
              <w:instrText xml:space="preserve"> PAGEREF _Toc181041982 \h </w:instrText>
            </w:r>
            <w:r>
              <w:rPr>
                <w:noProof/>
                <w:webHidden/>
              </w:rPr>
            </w:r>
            <w:r>
              <w:rPr>
                <w:noProof/>
                <w:webHidden/>
              </w:rPr>
              <w:fldChar w:fldCharType="separate"/>
            </w:r>
            <w:r w:rsidR="00E712A6">
              <w:rPr>
                <w:noProof/>
                <w:webHidden/>
              </w:rPr>
              <w:t>10</w:t>
            </w:r>
            <w:r>
              <w:rPr>
                <w:noProof/>
                <w:webHidden/>
              </w:rPr>
              <w:fldChar w:fldCharType="end"/>
            </w:r>
          </w:hyperlink>
        </w:p>
        <w:p w14:paraId="57431EB6" w14:textId="3D6B0E83"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83" w:history="1">
            <w:r w:rsidRPr="003157AE">
              <w:rPr>
                <w:rStyle w:val="Hyperlink"/>
                <w:noProof/>
              </w:rPr>
              <w:t>2.1. Dependence on MODIS Land Cover Classification (MCDLCHKM)</w:t>
            </w:r>
            <w:r>
              <w:rPr>
                <w:noProof/>
                <w:webHidden/>
              </w:rPr>
              <w:tab/>
            </w:r>
            <w:r>
              <w:rPr>
                <w:noProof/>
                <w:webHidden/>
              </w:rPr>
              <w:fldChar w:fldCharType="begin"/>
            </w:r>
            <w:r>
              <w:rPr>
                <w:noProof/>
                <w:webHidden/>
              </w:rPr>
              <w:instrText xml:space="preserve"> PAGEREF _Toc181041983 \h </w:instrText>
            </w:r>
            <w:r>
              <w:rPr>
                <w:noProof/>
                <w:webHidden/>
              </w:rPr>
            </w:r>
            <w:r>
              <w:rPr>
                <w:noProof/>
                <w:webHidden/>
              </w:rPr>
              <w:fldChar w:fldCharType="separate"/>
            </w:r>
            <w:r w:rsidR="00E712A6">
              <w:rPr>
                <w:noProof/>
                <w:webHidden/>
              </w:rPr>
              <w:t>10</w:t>
            </w:r>
            <w:r>
              <w:rPr>
                <w:noProof/>
                <w:webHidden/>
              </w:rPr>
              <w:fldChar w:fldCharType="end"/>
            </w:r>
          </w:hyperlink>
        </w:p>
        <w:p w14:paraId="44FE15C4" w14:textId="7CC9780B"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84" w:history="1">
            <w:r w:rsidRPr="003157AE">
              <w:rPr>
                <w:rStyle w:val="Hyperlink"/>
                <w:noProof/>
              </w:rPr>
              <w:t>2.2. The BPLUT and constant biome properties</w:t>
            </w:r>
            <w:r>
              <w:rPr>
                <w:noProof/>
                <w:webHidden/>
              </w:rPr>
              <w:tab/>
            </w:r>
            <w:r>
              <w:rPr>
                <w:noProof/>
                <w:webHidden/>
              </w:rPr>
              <w:fldChar w:fldCharType="begin"/>
            </w:r>
            <w:r>
              <w:rPr>
                <w:noProof/>
                <w:webHidden/>
              </w:rPr>
              <w:instrText xml:space="preserve"> PAGEREF _Toc181041984 \h </w:instrText>
            </w:r>
            <w:r>
              <w:rPr>
                <w:noProof/>
                <w:webHidden/>
              </w:rPr>
            </w:r>
            <w:r>
              <w:rPr>
                <w:noProof/>
                <w:webHidden/>
              </w:rPr>
              <w:fldChar w:fldCharType="separate"/>
            </w:r>
            <w:r w:rsidR="00E712A6">
              <w:rPr>
                <w:noProof/>
                <w:webHidden/>
              </w:rPr>
              <w:t>11</w:t>
            </w:r>
            <w:r>
              <w:rPr>
                <w:noProof/>
                <w:webHidden/>
              </w:rPr>
              <w:fldChar w:fldCharType="end"/>
            </w:r>
          </w:hyperlink>
        </w:p>
        <w:p w14:paraId="6295DE63" w14:textId="5AE646E1"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85" w:history="1">
            <w:r w:rsidRPr="003157AE">
              <w:rPr>
                <w:rStyle w:val="Hyperlink"/>
                <w:noProof/>
              </w:rPr>
              <w:t>2.3. Adjusted two parameters in recalibrated MODIS BPLUT for VIIRS</w:t>
            </w:r>
            <w:r>
              <w:rPr>
                <w:noProof/>
                <w:webHidden/>
              </w:rPr>
              <w:tab/>
            </w:r>
            <w:r>
              <w:rPr>
                <w:noProof/>
                <w:webHidden/>
              </w:rPr>
              <w:fldChar w:fldCharType="begin"/>
            </w:r>
            <w:r>
              <w:rPr>
                <w:noProof/>
                <w:webHidden/>
              </w:rPr>
              <w:instrText xml:space="preserve"> PAGEREF _Toc181041985 \h </w:instrText>
            </w:r>
            <w:r>
              <w:rPr>
                <w:noProof/>
                <w:webHidden/>
              </w:rPr>
            </w:r>
            <w:r>
              <w:rPr>
                <w:noProof/>
                <w:webHidden/>
              </w:rPr>
              <w:fldChar w:fldCharType="separate"/>
            </w:r>
            <w:r w:rsidR="00E712A6">
              <w:rPr>
                <w:noProof/>
                <w:webHidden/>
              </w:rPr>
              <w:t>13</w:t>
            </w:r>
            <w:r>
              <w:rPr>
                <w:noProof/>
                <w:webHidden/>
              </w:rPr>
              <w:fldChar w:fldCharType="end"/>
            </w:r>
          </w:hyperlink>
        </w:p>
        <w:p w14:paraId="2A81622B" w14:textId="7EEF03DB"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86" w:history="1">
            <w:r w:rsidRPr="003157AE">
              <w:rPr>
                <w:rStyle w:val="Hyperlink"/>
                <w:noProof/>
              </w:rPr>
              <w:t>2.4. Leaf area index and fraction of absorbed photosynthetically active radiation</w:t>
            </w:r>
            <w:r>
              <w:rPr>
                <w:noProof/>
                <w:webHidden/>
              </w:rPr>
              <w:tab/>
            </w:r>
            <w:r>
              <w:rPr>
                <w:noProof/>
                <w:webHidden/>
              </w:rPr>
              <w:fldChar w:fldCharType="begin"/>
            </w:r>
            <w:r>
              <w:rPr>
                <w:noProof/>
                <w:webHidden/>
              </w:rPr>
              <w:instrText xml:space="preserve"> PAGEREF _Toc181041986 \h </w:instrText>
            </w:r>
            <w:r>
              <w:rPr>
                <w:noProof/>
                <w:webHidden/>
              </w:rPr>
            </w:r>
            <w:r>
              <w:rPr>
                <w:noProof/>
                <w:webHidden/>
              </w:rPr>
              <w:fldChar w:fldCharType="separate"/>
            </w:r>
            <w:r w:rsidR="00E712A6">
              <w:rPr>
                <w:noProof/>
                <w:webHidden/>
              </w:rPr>
              <w:t>14</w:t>
            </w:r>
            <w:r>
              <w:rPr>
                <w:noProof/>
                <w:webHidden/>
              </w:rPr>
              <w:fldChar w:fldCharType="end"/>
            </w:r>
          </w:hyperlink>
        </w:p>
        <w:p w14:paraId="409FDC2B" w14:textId="24AF6743"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87" w:history="1">
            <w:r w:rsidRPr="003157AE">
              <w:rPr>
                <w:rStyle w:val="Hyperlink"/>
                <w:noProof/>
              </w:rPr>
              <w:t>2.5. Cloud Screening for Forward and Year-end Gap-filled VNP17A2[3]GF</w:t>
            </w:r>
            <w:r>
              <w:rPr>
                <w:noProof/>
                <w:webHidden/>
              </w:rPr>
              <w:tab/>
            </w:r>
            <w:r>
              <w:rPr>
                <w:noProof/>
                <w:webHidden/>
              </w:rPr>
              <w:fldChar w:fldCharType="begin"/>
            </w:r>
            <w:r>
              <w:rPr>
                <w:noProof/>
                <w:webHidden/>
              </w:rPr>
              <w:instrText xml:space="preserve"> PAGEREF _Toc181041987 \h </w:instrText>
            </w:r>
            <w:r>
              <w:rPr>
                <w:noProof/>
                <w:webHidden/>
              </w:rPr>
            </w:r>
            <w:r>
              <w:rPr>
                <w:noProof/>
                <w:webHidden/>
              </w:rPr>
              <w:fldChar w:fldCharType="separate"/>
            </w:r>
            <w:r w:rsidR="00E712A6">
              <w:rPr>
                <w:noProof/>
                <w:webHidden/>
              </w:rPr>
              <w:t>14</w:t>
            </w:r>
            <w:r>
              <w:rPr>
                <w:noProof/>
                <w:webHidden/>
              </w:rPr>
              <w:fldChar w:fldCharType="end"/>
            </w:r>
          </w:hyperlink>
        </w:p>
        <w:p w14:paraId="4FCE4193" w14:textId="7BF1610C"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88" w:history="1">
            <w:r w:rsidRPr="003157AE">
              <w:rPr>
                <w:rStyle w:val="Hyperlink"/>
                <w:noProof/>
              </w:rPr>
              <w:t>2.5.1. Climatology FPAR/LAI and Forward VNP17A2</w:t>
            </w:r>
            <w:r>
              <w:rPr>
                <w:noProof/>
                <w:webHidden/>
              </w:rPr>
              <w:tab/>
            </w:r>
            <w:r>
              <w:rPr>
                <w:noProof/>
                <w:webHidden/>
              </w:rPr>
              <w:fldChar w:fldCharType="begin"/>
            </w:r>
            <w:r>
              <w:rPr>
                <w:noProof/>
                <w:webHidden/>
              </w:rPr>
              <w:instrText xml:space="preserve"> PAGEREF _Toc181041988 \h </w:instrText>
            </w:r>
            <w:r>
              <w:rPr>
                <w:noProof/>
                <w:webHidden/>
              </w:rPr>
            </w:r>
            <w:r>
              <w:rPr>
                <w:noProof/>
                <w:webHidden/>
              </w:rPr>
              <w:fldChar w:fldCharType="separate"/>
            </w:r>
            <w:r w:rsidR="00E712A6">
              <w:rPr>
                <w:noProof/>
                <w:webHidden/>
              </w:rPr>
              <w:t>15</w:t>
            </w:r>
            <w:r>
              <w:rPr>
                <w:noProof/>
                <w:webHidden/>
              </w:rPr>
              <w:fldChar w:fldCharType="end"/>
            </w:r>
          </w:hyperlink>
        </w:p>
        <w:p w14:paraId="36B68A15" w14:textId="03E74258" w:rsidR="007C1923" w:rsidRDefault="007C1923">
          <w:pPr>
            <w:pStyle w:val="TOC3"/>
            <w:tabs>
              <w:tab w:val="right" w:leader="dot" w:pos="9350"/>
            </w:tabs>
            <w:rPr>
              <w:rFonts w:eastAsiaTheme="minorEastAsia" w:cstheme="minorBidi"/>
              <w:noProof/>
              <w:kern w:val="2"/>
              <w:sz w:val="24"/>
              <w:szCs w:val="24"/>
              <w14:ligatures w14:val="standardContextual"/>
            </w:rPr>
          </w:pPr>
          <w:hyperlink w:anchor="_Toc181041989" w:history="1">
            <w:r w:rsidRPr="003157AE">
              <w:rPr>
                <w:rStyle w:val="Hyperlink"/>
                <w:noProof/>
              </w:rPr>
              <w:t>2.5.2 Gap-filling FPAR/LAI for Year-end Gap-filled VNP17A2[3]GF</w:t>
            </w:r>
            <w:r>
              <w:rPr>
                <w:noProof/>
                <w:webHidden/>
              </w:rPr>
              <w:tab/>
            </w:r>
            <w:r>
              <w:rPr>
                <w:noProof/>
                <w:webHidden/>
              </w:rPr>
              <w:fldChar w:fldCharType="begin"/>
            </w:r>
            <w:r>
              <w:rPr>
                <w:noProof/>
                <w:webHidden/>
              </w:rPr>
              <w:instrText xml:space="preserve"> PAGEREF _Toc181041989 \h </w:instrText>
            </w:r>
            <w:r>
              <w:rPr>
                <w:noProof/>
                <w:webHidden/>
              </w:rPr>
            </w:r>
            <w:r>
              <w:rPr>
                <w:noProof/>
                <w:webHidden/>
              </w:rPr>
              <w:fldChar w:fldCharType="separate"/>
            </w:r>
            <w:r w:rsidR="00E712A6">
              <w:rPr>
                <w:noProof/>
                <w:webHidden/>
              </w:rPr>
              <w:t>17</w:t>
            </w:r>
            <w:r>
              <w:rPr>
                <w:noProof/>
                <w:webHidden/>
              </w:rPr>
              <w:fldChar w:fldCharType="end"/>
            </w:r>
          </w:hyperlink>
        </w:p>
        <w:p w14:paraId="13DC0DC4" w14:textId="52AFD0AD"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90" w:history="1">
            <w:r w:rsidRPr="003157AE">
              <w:rPr>
                <w:rStyle w:val="Hyperlink"/>
                <w:noProof/>
              </w:rPr>
              <w:t>2.6. GMAO daily meteorological data</w:t>
            </w:r>
            <w:r>
              <w:rPr>
                <w:noProof/>
                <w:webHidden/>
              </w:rPr>
              <w:tab/>
            </w:r>
            <w:r>
              <w:rPr>
                <w:noProof/>
                <w:webHidden/>
              </w:rPr>
              <w:fldChar w:fldCharType="begin"/>
            </w:r>
            <w:r>
              <w:rPr>
                <w:noProof/>
                <w:webHidden/>
              </w:rPr>
              <w:instrText xml:space="preserve"> PAGEREF _Toc181041990 \h </w:instrText>
            </w:r>
            <w:r>
              <w:rPr>
                <w:noProof/>
                <w:webHidden/>
              </w:rPr>
            </w:r>
            <w:r>
              <w:rPr>
                <w:noProof/>
                <w:webHidden/>
              </w:rPr>
              <w:fldChar w:fldCharType="separate"/>
            </w:r>
            <w:r w:rsidR="00E712A6">
              <w:rPr>
                <w:noProof/>
                <w:webHidden/>
              </w:rPr>
              <w:t>19</w:t>
            </w:r>
            <w:r>
              <w:rPr>
                <w:noProof/>
                <w:webHidden/>
              </w:rPr>
              <w:fldChar w:fldCharType="end"/>
            </w:r>
          </w:hyperlink>
        </w:p>
        <w:p w14:paraId="7C08CC46" w14:textId="2291ABBB" w:rsidR="007C1923" w:rsidRDefault="007C1923">
          <w:pPr>
            <w:pStyle w:val="TOC1"/>
            <w:rPr>
              <w:rFonts w:eastAsiaTheme="minorEastAsia" w:cstheme="minorBidi"/>
              <w:b w:val="0"/>
              <w:bCs w:val="0"/>
              <w:i w:val="0"/>
              <w:iCs w:val="0"/>
              <w:noProof/>
              <w:kern w:val="2"/>
              <w14:ligatures w14:val="standardContextual"/>
            </w:rPr>
          </w:pPr>
          <w:hyperlink w:anchor="_Toc181041991" w:history="1">
            <w:r w:rsidRPr="003157AE">
              <w:rPr>
                <w:rStyle w:val="Hyperlink"/>
                <w:noProof/>
              </w:rPr>
              <w:t>3.  Validation of VNP17/VJ117 GPP and NPP</w:t>
            </w:r>
            <w:r>
              <w:rPr>
                <w:noProof/>
                <w:webHidden/>
              </w:rPr>
              <w:tab/>
            </w:r>
            <w:r>
              <w:rPr>
                <w:noProof/>
                <w:webHidden/>
              </w:rPr>
              <w:fldChar w:fldCharType="begin"/>
            </w:r>
            <w:r>
              <w:rPr>
                <w:noProof/>
                <w:webHidden/>
              </w:rPr>
              <w:instrText xml:space="preserve"> PAGEREF _Toc181041991 \h </w:instrText>
            </w:r>
            <w:r>
              <w:rPr>
                <w:noProof/>
                <w:webHidden/>
              </w:rPr>
            </w:r>
            <w:r>
              <w:rPr>
                <w:noProof/>
                <w:webHidden/>
              </w:rPr>
              <w:fldChar w:fldCharType="separate"/>
            </w:r>
            <w:r w:rsidR="00E712A6">
              <w:rPr>
                <w:noProof/>
                <w:webHidden/>
              </w:rPr>
              <w:t>21</w:t>
            </w:r>
            <w:r>
              <w:rPr>
                <w:noProof/>
                <w:webHidden/>
              </w:rPr>
              <w:fldChar w:fldCharType="end"/>
            </w:r>
          </w:hyperlink>
        </w:p>
        <w:p w14:paraId="7891A2D8" w14:textId="4D62D31F" w:rsidR="007C1923" w:rsidRDefault="007C1923">
          <w:pPr>
            <w:pStyle w:val="TOC1"/>
            <w:rPr>
              <w:rFonts w:eastAsiaTheme="minorEastAsia" w:cstheme="minorBidi"/>
              <w:b w:val="0"/>
              <w:bCs w:val="0"/>
              <w:i w:val="0"/>
              <w:iCs w:val="0"/>
              <w:noProof/>
              <w:kern w:val="2"/>
              <w14:ligatures w14:val="standardContextual"/>
            </w:rPr>
          </w:pPr>
          <w:hyperlink w:anchor="_Toc181041992" w:history="1">
            <w:r w:rsidRPr="003157AE">
              <w:rPr>
                <w:rStyle w:val="Hyperlink"/>
                <w:noProof/>
              </w:rPr>
              <w:t>4.  Description of 500-m VNP17/VJ117 Data Products</w:t>
            </w:r>
            <w:r>
              <w:rPr>
                <w:noProof/>
                <w:webHidden/>
              </w:rPr>
              <w:tab/>
            </w:r>
            <w:r>
              <w:rPr>
                <w:noProof/>
                <w:webHidden/>
              </w:rPr>
              <w:fldChar w:fldCharType="begin"/>
            </w:r>
            <w:r>
              <w:rPr>
                <w:noProof/>
                <w:webHidden/>
              </w:rPr>
              <w:instrText xml:space="preserve"> PAGEREF _Toc181041992 \h </w:instrText>
            </w:r>
            <w:r>
              <w:rPr>
                <w:noProof/>
                <w:webHidden/>
              </w:rPr>
            </w:r>
            <w:r>
              <w:rPr>
                <w:noProof/>
                <w:webHidden/>
              </w:rPr>
              <w:fldChar w:fldCharType="separate"/>
            </w:r>
            <w:r w:rsidR="00E712A6">
              <w:rPr>
                <w:noProof/>
                <w:webHidden/>
              </w:rPr>
              <w:t>22</w:t>
            </w:r>
            <w:r>
              <w:rPr>
                <w:noProof/>
                <w:webHidden/>
              </w:rPr>
              <w:fldChar w:fldCharType="end"/>
            </w:r>
          </w:hyperlink>
        </w:p>
        <w:p w14:paraId="06213D9F" w14:textId="2DF24D23"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93" w:history="1">
            <w:r w:rsidRPr="003157AE">
              <w:rPr>
                <w:rStyle w:val="Hyperlink"/>
                <w:noProof/>
              </w:rPr>
              <w:t>4.1. File Naming Conventions</w:t>
            </w:r>
            <w:r>
              <w:rPr>
                <w:noProof/>
                <w:webHidden/>
              </w:rPr>
              <w:tab/>
            </w:r>
            <w:r>
              <w:rPr>
                <w:noProof/>
                <w:webHidden/>
              </w:rPr>
              <w:fldChar w:fldCharType="begin"/>
            </w:r>
            <w:r>
              <w:rPr>
                <w:noProof/>
                <w:webHidden/>
              </w:rPr>
              <w:instrText xml:space="preserve"> PAGEREF _Toc181041993 \h </w:instrText>
            </w:r>
            <w:r>
              <w:rPr>
                <w:noProof/>
                <w:webHidden/>
              </w:rPr>
            </w:r>
            <w:r>
              <w:rPr>
                <w:noProof/>
                <w:webHidden/>
              </w:rPr>
              <w:fldChar w:fldCharType="separate"/>
            </w:r>
            <w:r w:rsidR="00E712A6">
              <w:rPr>
                <w:noProof/>
                <w:webHidden/>
              </w:rPr>
              <w:t>22</w:t>
            </w:r>
            <w:r>
              <w:rPr>
                <w:noProof/>
                <w:webHidden/>
              </w:rPr>
              <w:fldChar w:fldCharType="end"/>
            </w:r>
          </w:hyperlink>
        </w:p>
        <w:p w14:paraId="4445A7B2" w14:textId="0756DD8A"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94" w:history="1">
            <w:r w:rsidRPr="003157AE">
              <w:rPr>
                <w:rStyle w:val="Hyperlink"/>
                <w:noProof/>
                <w:lang w:val="es-ES"/>
              </w:rPr>
              <w:t>4.2. 8-day VNP17A2[GF]/VJ117A2[GF]</w:t>
            </w:r>
            <w:r>
              <w:rPr>
                <w:noProof/>
                <w:webHidden/>
              </w:rPr>
              <w:tab/>
            </w:r>
            <w:r>
              <w:rPr>
                <w:noProof/>
                <w:webHidden/>
              </w:rPr>
              <w:fldChar w:fldCharType="begin"/>
            </w:r>
            <w:r>
              <w:rPr>
                <w:noProof/>
                <w:webHidden/>
              </w:rPr>
              <w:instrText xml:space="preserve"> PAGEREF _Toc181041994 \h </w:instrText>
            </w:r>
            <w:r>
              <w:rPr>
                <w:noProof/>
                <w:webHidden/>
              </w:rPr>
            </w:r>
            <w:r>
              <w:rPr>
                <w:noProof/>
                <w:webHidden/>
              </w:rPr>
              <w:fldChar w:fldCharType="separate"/>
            </w:r>
            <w:r w:rsidR="00E712A6">
              <w:rPr>
                <w:noProof/>
                <w:webHidden/>
              </w:rPr>
              <w:t>23</w:t>
            </w:r>
            <w:r>
              <w:rPr>
                <w:noProof/>
                <w:webHidden/>
              </w:rPr>
              <w:fldChar w:fldCharType="end"/>
            </w:r>
          </w:hyperlink>
        </w:p>
        <w:p w14:paraId="3F3F3493" w14:textId="33E41EE0" w:rsidR="007C1923" w:rsidRDefault="007C1923">
          <w:pPr>
            <w:pStyle w:val="TOC2"/>
            <w:tabs>
              <w:tab w:val="right" w:leader="dot" w:pos="9350"/>
            </w:tabs>
            <w:rPr>
              <w:rFonts w:eastAsiaTheme="minorEastAsia" w:cstheme="minorBidi"/>
              <w:b w:val="0"/>
              <w:bCs w:val="0"/>
              <w:noProof/>
              <w:kern w:val="2"/>
              <w:sz w:val="24"/>
              <w:szCs w:val="24"/>
              <w14:ligatures w14:val="standardContextual"/>
            </w:rPr>
          </w:pPr>
          <w:hyperlink w:anchor="_Toc181041995" w:history="1">
            <w:r w:rsidRPr="003157AE">
              <w:rPr>
                <w:rStyle w:val="Hyperlink"/>
                <w:noProof/>
                <w:lang w:val="es-ES"/>
              </w:rPr>
              <w:t>4.3. Anual VNP17A3GF/VJ117A3GF</w:t>
            </w:r>
            <w:r>
              <w:rPr>
                <w:noProof/>
                <w:webHidden/>
              </w:rPr>
              <w:tab/>
            </w:r>
            <w:r>
              <w:rPr>
                <w:noProof/>
                <w:webHidden/>
              </w:rPr>
              <w:fldChar w:fldCharType="begin"/>
            </w:r>
            <w:r>
              <w:rPr>
                <w:noProof/>
                <w:webHidden/>
              </w:rPr>
              <w:instrText xml:space="preserve"> PAGEREF _Toc181041995 \h </w:instrText>
            </w:r>
            <w:r>
              <w:rPr>
                <w:noProof/>
                <w:webHidden/>
              </w:rPr>
            </w:r>
            <w:r>
              <w:rPr>
                <w:noProof/>
                <w:webHidden/>
              </w:rPr>
              <w:fldChar w:fldCharType="separate"/>
            </w:r>
            <w:r w:rsidR="00E712A6">
              <w:rPr>
                <w:noProof/>
                <w:webHidden/>
              </w:rPr>
              <w:t>25</w:t>
            </w:r>
            <w:r>
              <w:rPr>
                <w:noProof/>
                <w:webHidden/>
              </w:rPr>
              <w:fldChar w:fldCharType="end"/>
            </w:r>
          </w:hyperlink>
        </w:p>
        <w:p w14:paraId="76D0CE3B" w14:textId="69FB724E" w:rsidR="007C1923" w:rsidRDefault="007C1923">
          <w:pPr>
            <w:pStyle w:val="TOC1"/>
            <w:rPr>
              <w:rFonts w:eastAsiaTheme="minorEastAsia" w:cstheme="minorBidi"/>
              <w:b w:val="0"/>
              <w:bCs w:val="0"/>
              <w:i w:val="0"/>
              <w:iCs w:val="0"/>
              <w:noProof/>
              <w:kern w:val="2"/>
              <w14:ligatures w14:val="standardContextual"/>
            </w:rPr>
          </w:pPr>
          <w:hyperlink w:anchor="_Toc181041996" w:history="1">
            <w:r w:rsidRPr="003157AE">
              <w:rPr>
                <w:rStyle w:val="Hyperlink"/>
                <w:noProof/>
              </w:rPr>
              <w:t>5. Practical Details for Downloading</w:t>
            </w:r>
            <w:r>
              <w:rPr>
                <w:noProof/>
                <w:webHidden/>
              </w:rPr>
              <w:tab/>
            </w:r>
            <w:r>
              <w:rPr>
                <w:noProof/>
                <w:webHidden/>
              </w:rPr>
              <w:fldChar w:fldCharType="begin"/>
            </w:r>
            <w:r>
              <w:rPr>
                <w:noProof/>
                <w:webHidden/>
              </w:rPr>
              <w:instrText xml:space="preserve"> PAGEREF _Toc181041996 \h </w:instrText>
            </w:r>
            <w:r>
              <w:rPr>
                <w:noProof/>
                <w:webHidden/>
              </w:rPr>
            </w:r>
            <w:r>
              <w:rPr>
                <w:noProof/>
                <w:webHidden/>
              </w:rPr>
              <w:fldChar w:fldCharType="separate"/>
            </w:r>
            <w:r w:rsidR="00E712A6">
              <w:rPr>
                <w:noProof/>
                <w:webHidden/>
              </w:rPr>
              <w:t>26</w:t>
            </w:r>
            <w:r>
              <w:rPr>
                <w:noProof/>
                <w:webHidden/>
              </w:rPr>
              <w:fldChar w:fldCharType="end"/>
            </w:r>
          </w:hyperlink>
        </w:p>
        <w:p w14:paraId="43849DAD" w14:textId="0154D9E6" w:rsidR="007C1923" w:rsidRDefault="007C1923">
          <w:pPr>
            <w:pStyle w:val="TOC1"/>
            <w:rPr>
              <w:rFonts w:eastAsiaTheme="minorEastAsia" w:cstheme="minorBidi"/>
              <w:b w:val="0"/>
              <w:bCs w:val="0"/>
              <w:i w:val="0"/>
              <w:iCs w:val="0"/>
              <w:noProof/>
              <w:kern w:val="2"/>
              <w14:ligatures w14:val="standardContextual"/>
            </w:rPr>
          </w:pPr>
          <w:hyperlink w:anchor="_Toc181041997" w:history="1">
            <w:r w:rsidRPr="003157AE">
              <w:rPr>
                <w:rStyle w:val="Hyperlink"/>
                <w:noProof/>
              </w:rPr>
              <w:t>6. New Science and Applications using MOD17</w:t>
            </w:r>
            <w:r>
              <w:rPr>
                <w:noProof/>
                <w:webHidden/>
              </w:rPr>
              <w:tab/>
            </w:r>
            <w:r>
              <w:rPr>
                <w:noProof/>
                <w:webHidden/>
              </w:rPr>
              <w:fldChar w:fldCharType="begin"/>
            </w:r>
            <w:r>
              <w:rPr>
                <w:noProof/>
                <w:webHidden/>
              </w:rPr>
              <w:instrText xml:space="preserve"> PAGEREF _Toc181041997 \h </w:instrText>
            </w:r>
            <w:r>
              <w:rPr>
                <w:noProof/>
                <w:webHidden/>
              </w:rPr>
            </w:r>
            <w:r>
              <w:rPr>
                <w:noProof/>
                <w:webHidden/>
              </w:rPr>
              <w:fldChar w:fldCharType="separate"/>
            </w:r>
            <w:r w:rsidR="00E712A6">
              <w:rPr>
                <w:noProof/>
                <w:webHidden/>
              </w:rPr>
              <w:t>27</w:t>
            </w:r>
            <w:r>
              <w:rPr>
                <w:noProof/>
                <w:webHidden/>
              </w:rPr>
              <w:fldChar w:fldCharType="end"/>
            </w:r>
          </w:hyperlink>
        </w:p>
        <w:p w14:paraId="51A1D36F" w14:textId="140F7171" w:rsidR="007C1923" w:rsidRDefault="007C1923">
          <w:pPr>
            <w:pStyle w:val="TOC1"/>
            <w:rPr>
              <w:rFonts w:eastAsiaTheme="minorEastAsia" w:cstheme="minorBidi"/>
              <w:b w:val="0"/>
              <w:bCs w:val="0"/>
              <w:i w:val="0"/>
              <w:iCs w:val="0"/>
              <w:noProof/>
              <w:kern w:val="2"/>
              <w14:ligatures w14:val="standardContextual"/>
            </w:rPr>
          </w:pPr>
          <w:hyperlink w:anchor="_Toc181041998" w:history="1">
            <w:r w:rsidRPr="003157AE">
              <w:rPr>
                <w:rStyle w:val="Hyperlink"/>
                <w:noProof/>
              </w:rPr>
              <w:t>LIST OF NTSG AUTHORED/CO-AUTHORED PAPERS</w:t>
            </w:r>
            <w:r>
              <w:rPr>
                <w:noProof/>
                <w:webHidden/>
              </w:rPr>
              <w:tab/>
            </w:r>
            <w:r>
              <w:rPr>
                <w:noProof/>
                <w:webHidden/>
              </w:rPr>
              <w:fldChar w:fldCharType="begin"/>
            </w:r>
            <w:r>
              <w:rPr>
                <w:noProof/>
                <w:webHidden/>
              </w:rPr>
              <w:instrText xml:space="preserve"> PAGEREF _Toc181041998 \h </w:instrText>
            </w:r>
            <w:r>
              <w:rPr>
                <w:noProof/>
                <w:webHidden/>
              </w:rPr>
            </w:r>
            <w:r>
              <w:rPr>
                <w:noProof/>
                <w:webHidden/>
              </w:rPr>
              <w:fldChar w:fldCharType="separate"/>
            </w:r>
            <w:r w:rsidR="00E712A6">
              <w:rPr>
                <w:noProof/>
                <w:webHidden/>
              </w:rPr>
              <w:t>28</w:t>
            </w:r>
            <w:r>
              <w:rPr>
                <w:noProof/>
                <w:webHidden/>
              </w:rPr>
              <w:fldChar w:fldCharType="end"/>
            </w:r>
          </w:hyperlink>
        </w:p>
        <w:p w14:paraId="48391E25" w14:textId="52BB15EA" w:rsidR="007C1923" w:rsidRDefault="007C1923">
          <w:pPr>
            <w:pStyle w:val="TOC1"/>
            <w:rPr>
              <w:rFonts w:eastAsiaTheme="minorEastAsia" w:cstheme="minorBidi"/>
              <w:b w:val="0"/>
              <w:bCs w:val="0"/>
              <w:i w:val="0"/>
              <w:iCs w:val="0"/>
              <w:noProof/>
              <w:kern w:val="2"/>
              <w14:ligatures w14:val="standardContextual"/>
            </w:rPr>
          </w:pPr>
          <w:hyperlink w:anchor="_Toc181041999" w:history="1">
            <w:r w:rsidRPr="003157AE">
              <w:rPr>
                <w:rStyle w:val="Hyperlink"/>
                <w:noProof/>
              </w:rPr>
              <w:t>REFERENCES</w:t>
            </w:r>
            <w:r>
              <w:rPr>
                <w:noProof/>
                <w:webHidden/>
              </w:rPr>
              <w:tab/>
            </w:r>
            <w:r>
              <w:rPr>
                <w:noProof/>
                <w:webHidden/>
              </w:rPr>
              <w:fldChar w:fldCharType="begin"/>
            </w:r>
            <w:r>
              <w:rPr>
                <w:noProof/>
                <w:webHidden/>
              </w:rPr>
              <w:instrText xml:space="preserve"> PAGEREF _Toc181041999 \h </w:instrText>
            </w:r>
            <w:r>
              <w:rPr>
                <w:noProof/>
                <w:webHidden/>
              </w:rPr>
            </w:r>
            <w:r>
              <w:rPr>
                <w:noProof/>
                <w:webHidden/>
              </w:rPr>
              <w:fldChar w:fldCharType="separate"/>
            </w:r>
            <w:r w:rsidR="00E712A6">
              <w:rPr>
                <w:noProof/>
                <w:webHidden/>
              </w:rPr>
              <w:t>34</w:t>
            </w:r>
            <w:r>
              <w:rPr>
                <w:noProof/>
                <w:webHidden/>
              </w:rPr>
              <w:fldChar w:fldCharType="end"/>
            </w:r>
          </w:hyperlink>
        </w:p>
        <w:p w14:paraId="0D0B940D" w14:textId="52463C98" w:rsidR="0078185C" w:rsidRDefault="00000000">
          <w:pPr>
            <w:rPr>
              <w:b/>
              <w:bCs/>
              <w:sz w:val="32"/>
              <w:szCs w:val="32"/>
            </w:rPr>
          </w:pPr>
          <w:r>
            <w:rPr>
              <w:b/>
              <w:bCs/>
              <w:sz w:val="32"/>
              <w:szCs w:val="32"/>
            </w:rPr>
            <w:fldChar w:fldCharType="end"/>
          </w:r>
        </w:p>
      </w:sdtContent>
    </w:sdt>
    <w:p w14:paraId="0E27B00A" w14:textId="77777777" w:rsidR="0078185C" w:rsidRDefault="0078185C"/>
    <w:p w14:paraId="60061E4C" w14:textId="77777777" w:rsidR="0078185C" w:rsidRDefault="0078185C"/>
    <w:p w14:paraId="44EAFD9C" w14:textId="77777777" w:rsidR="0078185C" w:rsidRDefault="0078185C"/>
    <w:p w14:paraId="4B94D5A5" w14:textId="77777777" w:rsidR="0078185C" w:rsidRDefault="0078185C"/>
    <w:p w14:paraId="3DEEC669" w14:textId="77777777" w:rsidR="0078185C" w:rsidRDefault="0078185C">
      <w:pPr>
        <w:sectPr w:rsidR="0078185C">
          <w:footerReference w:type="default" r:id="rId10"/>
          <w:pgSz w:w="12240" w:h="15840"/>
          <w:pgMar w:top="1440" w:right="1440" w:bottom="1440" w:left="1440" w:header="0" w:footer="720" w:gutter="0"/>
          <w:cols w:space="720"/>
          <w:formProt w:val="0"/>
          <w:docGrid w:linePitch="360"/>
        </w:sectPr>
      </w:pPr>
    </w:p>
    <w:p w14:paraId="404287F3" w14:textId="717F6463" w:rsidR="00CA6D6E" w:rsidRDefault="00CA6D6E">
      <w:pPr>
        <w:pStyle w:val="Heading1"/>
      </w:pPr>
      <w:bookmarkStart w:id="1" w:name="_Toc181041972"/>
      <w:r>
        <w:lastRenderedPageBreak/>
        <w:t>Preface</w:t>
      </w:r>
      <w:bookmarkEnd w:id="1"/>
    </w:p>
    <w:p w14:paraId="57D11334" w14:textId="77777777" w:rsidR="00CA6D6E" w:rsidRDefault="00CA6D6E" w:rsidP="00CA6D6E"/>
    <w:p w14:paraId="7DE46E74" w14:textId="7E8D454B" w:rsidR="00CA6D6E" w:rsidRPr="00CA6D6E" w:rsidRDefault="00CA6D6E" w:rsidP="00CE49AA">
      <w:pPr>
        <w:jc w:val="both"/>
      </w:pPr>
      <w:r>
        <w:t xml:space="preserve">The </w:t>
      </w:r>
      <w:r w:rsidR="004F7117">
        <w:t xml:space="preserve">operational VIIRS global </w:t>
      </w:r>
      <w:r>
        <w:t xml:space="preserve">Collection 2 (C2) </w:t>
      </w:r>
      <w:r w:rsidR="004F7117">
        <w:t>terrestrial Gross and Net Primary Production (GPP and NPP) data products</w:t>
      </w:r>
      <w:r>
        <w:t>, the</w:t>
      </w:r>
      <w:r w:rsidR="004F7117">
        <w:t>ir</w:t>
      </w:r>
      <w:r>
        <w:t xml:space="preserve"> forward 8-day VNP17A2/VJ117A2 and year-end Gap-Filled </w:t>
      </w:r>
      <w:r w:rsidR="004F7117">
        <w:t xml:space="preserve">(GF) </w:t>
      </w:r>
      <w:r>
        <w:t xml:space="preserve">8-day VNP17A2GF/VJ117A2GF and annual VNP17A3GF/VJ117A3GF use a </w:t>
      </w:r>
      <w:r w:rsidR="004F7117">
        <w:t xml:space="preserve">newly </w:t>
      </w:r>
      <w:r>
        <w:t>recalibrated BPLUT</w:t>
      </w:r>
      <w:r w:rsidR="009943F8">
        <w:t xml:space="preserve"> (Table 2.2)</w:t>
      </w:r>
      <w:r>
        <w:t xml:space="preserve"> for biophysiological parameters (Endsley et al., 2023) and a recent version of NASA’s GMAO meteorological data</w:t>
      </w:r>
      <w:r w:rsidR="00ED49E7">
        <w:t>:</w:t>
      </w:r>
      <w:r>
        <w:t xml:space="preserve"> </w:t>
      </w:r>
      <w:r w:rsidR="005F009D" w:rsidRPr="005F009D">
        <w:t>Goddard Earth Observing System (GEOS) for Instrument Teams</w:t>
      </w:r>
      <w:r w:rsidR="005F009D">
        <w:t xml:space="preserve"> (GEOS-IT).</w:t>
      </w:r>
      <w:r>
        <w:t xml:space="preserve"> In contrast, the Collection 6.1 (C6.1) MODIS is still using the old Collection 6 (C6) or C5 BPLUT and the old version of GMAO data</w:t>
      </w:r>
      <w:r w:rsidR="00ED49E7">
        <w:t>:</w:t>
      </w:r>
      <w:r>
        <w:t xml:space="preserve"> </w:t>
      </w:r>
      <w:r w:rsidR="005F009D">
        <w:t xml:space="preserve">GEOS for </w:t>
      </w:r>
      <w:r w:rsidR="005F009D" w:rsidRPr="005F009D">
        <w:t>Forward Processing</w:t>
      </w:r>
      <w:r w:rsidR="005F009D">
        <w:t xml:space="preserve"> </w:t>
      </w:r>
      <w:r w:rsidR="005F009D" w:rsidRPr="005F009D">
        <w:t>for Instrument Teams (</w:t>
      </w:r>
      <w:r w:rsidR="005F009D">
        <w:t xml:space="preserve">GEOS-FP-IT).  </w:t>
      </w:r>
      <w:r w:rsidR="00AE4FE3">
        <w:t xml:space="preserve">As a result, </w:t>
      </w:r>
      <w:r w:rsidR="005F009D">
        <w:t>the</w:t>
      </w:r>
      <w:r w:rsidR="00ED49E7">
        <w:t xml:space="preserve">se </w:t>
      </w:r>
      <w:r w:rsidR="00AE4FE3">
        <w:t xml:space="preserve">differences </w:t>
      </w:r>
      <w:r w:rsidR="00ED49E7">
        <w:t>cause</w:t>
      </w:r>
      <w:r w:rsidR="005F009D">
        <w:t xml:space="preserve"> inconsisten</w:t>
      </w:r>
      <w:r w:rsidR="00ED49E7">
        <w:t>cy</w:t>
      </w:r>
      <w:r w:rsidR="005F009D">
        <w:t xml:space="preserve"> between the C2 VIIRS GPP/NPP and C6.1 MODIS GPP/NPP</w:t>
      </w:r>
      <w:r w:rsidR="00ED49E7">
        <w:t xml:space="preserve"> (8-day MOD17A2H/MYD17A2H, MOD17A2HGF/MYD17A2HGF and annual MOD17A3HGF/MYD17A3HGF)</w:t>
      </w:r>
      <w:r w:rsidR="005F009D">
        <w:t xml:space="preserve">.  MODIS Collection 7 (C7) </w:t>
      </w:r>
      <w:r w:rsidR="009943F8">
        <w:t xml:space="preserve">GPP/NPP </w:t>
      </w:r>
      <w:r w:rsidR="005F009D">
        <w:t>will use the consistent BPLUT and the same NASA’s GMAO global meteorological data, GEOS-IT</w:t>
      </w:r>
      <w:r w:rsidR="009943F8">
        <w:t xml:space="preserve">, as </w:t>
      </w:r>
      <w:r w:rsidR="004F7117">
        <w:t xml:space="preserve">input data driver to be consistent with </w:t>
      </w:r>
      <w:r w:rsidR="009943F8">
        <w:t>the C2 VIIRS ones</w:t>
      </w:r>
      <w:r w:rsidR="005F009D">
        <w:t>.</w:t>
      </w:r>
    </w:p>
    <w:p w14:paraId="18FB6C4B" w14:textId="77777777" w:rsidR="00CA6D6E" w:rsidRDefault="00CA6D6E">
      <w:pPr>
        <w:pStyle w:val="Heading1"/>
      </w:pPr>
    </w:p>
    <w:p w14:paraId="38F7E435" w14:textId="53665C9A" w:rsidR="0078185C" w:rsidRDefault="00000000">
      <w:pPr>
        <w:pStyle w:val="Heading1"/>
      </w:pPr>
      <w:bookmarkStart w:id="2" w:name="_Toc181041973"/>
      <w:r>
        <w:t>Synopsis</w:t>
      </w:r>
      <w:bookmarkEnd w:id="2"/>
    </w:p>
    <w:p w14:paraId="3656B9AB" w14:textId="77777777" w:rsidR="0078185C" w:rsidRDefault="0078185C">
      <w:pPr>
        <w:jc w:val="both"/>
        <w:rPr>
          <w:b/>
          <w:bCs/>
        </w:rPr>
      </w:pPr>
    </w:p>
    <w:p w14:paraId="1CBFC3B0" w14:textId="4A1B71EA" w:rsidR="0078185C" w:rsidRDefault="6CEBCEED">
      <w:pPr>
        <w:ind w:firstLine="720"/>
        <w:jc w:val="both"/>
      </w:pPr>
      <w:r>
        <w:t xml:space="preserve">The operational VIIRS global, terrestrial GPP and NPP </w:t>
      </w:r>
      <w:r w:rsidR="00AE4FE3">
        <w:t xml:space="preserve">data </w:t>
      </w:r>
      <w:r>
        <w:t xml:space="preserve">products provide continuity for the MODIS GPP and NPP data products, MOD17 and MYD17, and represent a </w:t>
      </w:r>
      <w:proofErr w:type="gramStart"/>
      <w:r>
        <w:t>level-4</w:t>
      </w:r>
      <w:proofErr w:type="gramEnd"/>
      <w:r>
        <w:t xml:space="preserve"> VIIRS land data product of the U.S. National Aeronautics and Space Administration (NASA) Earth Observing System (EOS) project (Running et al, 2004). </w:t>
      </w:r>
      <w:r w:rsidRPr="6CEBCEED">
        <w:t>Using a similar naming scheme as the MODIS products</w:t>
      </w:r>
      <w:r>
        <w:t>, the VIIRS data products are named VNP17 and VJ117 for satellites of Suomi-NPP (SNPP) and JPSS-1, respectively. VIIRS data products are always produced at 500-m resolution; hence, the VIIRS product names do not contain an uppercase letter “H” (</w:t>
      </w:r>
      <w:r w:rsidRPr="6CEBCEED">
        <w:t>i.e.</w:t>
      </w:r>
      <w:r>
        <w:t>, for “</w:t>
      </w:r>
      <w:proofErr w:type="gramStart"/>
      <w:r>
        <w:t>half-kilometer</w:t>
      </w:r>
      <w:proofErr w:type="gramEnd"/>
      <w:r>
        <w:t xml:space="preserve">”), as in MODIS Collection 6.1 </w:t>
      </w:r>
      <w:r w:rsidR="00315A2B">
        <w:t xml:space="preserve">(C6.1) </w:t>
      </w:r>
      <w:r>
        <w:t xml:space="preserve">MOD17A2H, for example.   </w:t>
      </w:r>
      <w:r w:rsidRPr="6CEBCEED">
        <w:t>T</w:t>
      </w:r>
      <w:r>
        <w:t xml:space="preserve">he names of 8-day A2 and annual A3 data products are VNP17A2[GF] and VJ117A2[GF], and VNP17A3GF and VJ117A3GF, respectively (GF refers to Gap-Filled as detailed in the main text). </w:t>
      </w:r>
      <w:r w:rsidRPr="6CEBCEED">
        <w:t>T</w:t>
      </w:r>
      <w:r>
        <w:t xml:space="preserve">he content and format of the VNP17 and VJ117 data products are largely consistent with their MODIS heritage products, except for minor differences </w:t>
      </w:r>
      <w:r w:rsidRPr="6CEBCEED">
        <w:t>due to</w:t>
      </w:r>
      <w:r>
        <w:t xml:space="preserve"> different satellite platforms. </w:t>
      </w:r>
      <w:r w:rsidRPr="6CEBCEED">
        <w:t>W</w:t>
      </w:r>
      <w:r>
        <w:t xml:space="preserve">e will use VNP17 to </w:t>
      </w:r>
      <w:r w:rsidRPr="6CEBCEED">
        <w:t>refer to</w:t>
      </w:r>
      <w:r>
        <w:t xml:space="preserve"> both VNP17 and VJ117 across this document; VJ117 will be referred to only for specific cases.</w:t>
      </w:r>
    </w:p>
    <w:p w14:paraId="63985979" w14:textId="69C04318" w:rsidR="0078185C" w:rsidRDefault="6CEBCEED">
      <w:pPr>
        <w:ind w:firstLine="720"/>
        <w:jc w:val="both"/>
      </w:pPr>
      <w:r w:rsidRPr="6CEBCEED">
        <w:rPr>
          <w:color w:val="000000" w:themeColor="text1"/>
        </w:rPr>
        <w:t>Cloud contamination is a major issue for NASA’s forward operational land data products because it reduces the usefulness of the remotely sensed data for land information.</w:t>
      </w:r>
      <w:r>
        <w:t xml:space="preserve"> To </w:t>
      </w:r>
      <w:r w:rsidRPr="6CEBCEED">
        <w:t xml:space="preserve">address </w:t>
      </w:r>
      <w:r>
        <w:t xml:space="preserve">this issue and the potential for missing input data, </w:t>
      </w:r>
      <w:r w:rsidRPr="6CEBCEED">
        <w:rPr>
          <w:color w:val="000000" w:themeColor="text1"/>
        </w:rPr>
        <w:t xml:space="preserve">at the end of each year, when a full data record of all 8-day VNP15A2H and VJ115A2H are available, </w:t>
      </w:r>
      <w:r>
        <w:t>NASA reprocesses the year-end Gap Filled (GF) VIIRS GPP and NPP data products following the method adopted for the MODIS GPP and NPP data products (Zhao et al., 2005). To distinguish from the forward data products, The GF data products are named as 8-day VNP17A2GF, VJ117A2GF and annual VNP17A3GF and VJ117A3GF.</w:t>
      </w:r>
    </w:p>
    <w:p w14:paraId="63F46DEA" w14:textId="7FD463DD" w:rsidR="0078185C" w:rsidRDefault="00000000">
      <w:pPr>
        <w:ind w:firstLine="720"/>
        <w:jc w:val="both"/>
      </w:pPr>
      <w:r>
        <w:t xml:space="preserve">This User Guide (UG) is the revised and improved version of the previous UG, for C6.1 MODIS GPP and NPP. It has been specifically updated to reflect the </w:t>
      </w:r>
      <w:r w:rsidR="00315A2B">
        <w:t xml:space="preserve">Collection 2 (C2) </w:t>
      </w:r>
      <w:r>
        <w:t>VIIRS GPP and NPP products.</w:t>
      </w:r>
    </w:p>
    <w:p w14:paraId="45FB0818" w14:textId="77777777" w:rsidR="0078185C" w:rsidRDefault="0078185C">
      <w:pPr>
        <w:jc w:val="both"/>
        <w:rPr>
          <w:b/>
          <w:bCs/>
        </w:rPr>
      </w:pPr>
    </w:p>
    <w:p w14:paraId="5A0ADB25" w14:textId="77777777" w:rsidR="00BF6394" w:rsidRDefault="00BF6394">
      <w:pPr>
        <w:jc w:val="both"/>
        <w:rPr>
          <w:b/>
          <w:bCs/>
        </w:rPr>
      </w:pPr>
    </w:p>
    <w:p w14:paraId="460AAA90" w14:textId="77777777" w:rsidR="00BF6394" w:rsidRDefault="00BF6394">
      <w:pPr>
        <w:jc w:val="both"/>
        <w:rPr>
          <w:b/>
          <w:bCs/>
        </w:rPr>
      </w:pPr>
    </w:p>
    <w:p w14:paraId="3619BE59" w14:textId="77777777" w:rsidR="0078185C" w:rsidRDefault="00000000">
      <w:pPr>
        <w:pStyle w:val="Heading1"/>
      </w:pPr>
      <w:bookmarkStart w:id="3" w:name="_Toc181041974"/>
      <w:r>
        <w:lastRenderedPageBreak/>
        <w:t>1. Introduction of the Algorithm</w:t>
      </w:r>
      <w:bookmarkEnd w:id="3"/>
    </w:p>
    <w:p w14:paraId="049F31CB" w14:textId="77777777" w:rsidR="0078185C" w:rsidRDefault="0078185C">
      <w:pPr>
        <w:ind w:firstLine="720"/>
        <w:jc w:val="both"/>
        <w:rPr>
          <w:bCs/>
        </w:rPr>
      </w:pPr>
    </w:p>
    <w:p w14:paraId="341A0972" w14:textId="0259F332" w:rsidR="0078185C" w:rsidRDefault="00000000">
      <w:pPr>
        <w:ind w:firstLine="720"/>
        <w:jc w:val="both"/>
        <w:rPr>
          <w:bCs/>
        </w:rPr>
      </w:pPr>
      <w:r>
        <w:rPr>
          <w:bCs/>
        </w:rPr>
        <w:t>The derivation of a satellite estimate of terrestrial NPP has three theoretical components: (1) the idea that plant NPP is directly related to absorbed solar energy, (2) the theory that a connection exists between absorbed solar energy and satellite-derived spectral indices of vegetation, and (3) the assumption that there are biophysical reasons why the actual conversion efficiency of absorbed solar energy may be reduced below the theoretical potential value</w:t>
      </w:r>
      <w:r w:rsidR="00761723">
        <w:rPr>
          <w:bCs/>
        </w:rPr>
        <w:t xml:space="preserve"> (Figure 1.1)</w:t>
      </w:r>
      <w:r>
        <w:rPr>
          <w:bCs/>
        </w:rPr>
        <w:t xml:space="preserve">. We will briefly consider each of these components. </w:t>
      </w:r>
    </w:p>
    <w:p w14:paraId="53128261" w14:textId="77777777" w:rsidR="0078185C" w:rsidRDefault="0078185C">
      <w:pPr>
        <w:jc w:val="both"/>
        <w:rPr>
          <w:bCs/>
        </w:rPr>
      </w:pPr>
    </w:p>
    <w:p w14:paraId="2FFC2AF0" w14:textId="77777777" w:rsidR="0078185C" w:rsidRDefault="00000000">
      <w:pPr>
        <w:pStyle w:val="Heading2"/>
      </w:pPr>
      <w:r>
        <w:t xml:space="preserve"> </w:t>
      </w:r>
      <w:bookmarkStart w:id="4" w:name="_Toc181041975"/>
      <w:r>
        <w:t>1.1. Relating NDVI, APAR, GPP, and NPP</w:t>
      </w:r>
      <w:bookmarkEnd w:id="4"/>
      <w:r>
        <w:t xml:space="preserve"> </w:t>
      </w:r>
    </w:p>
    <w:p w14:paraId="62486C05" w14:textId="77777777" w:rsidR="0078185C" w:rsidRDefault="0078185C">
      <w:pPr>
        <w:jc w:val="both"/>
        <w:rPr>
          <w:b/>
          <w:bCs/>
          <w:sz w:val="28"/>
        </w:rPr>
      </w:pPr>
    </w:p>
    <w:p w14:paraId="484473CE" w14:textId="28549038" w:rsidR="0078185C" w:rsidRDefault="00000000">
      <w:pPr>
        <w:jc w:val="both"/>
        <w:rPr>
          <w:bCs/>
        </w:rPr>
      </w:pPr>
      <w:r>
        <w:rPr>
          <w:bCs/>
        </w:rPr>
        <w:tab/>
        <w:t>The original logic of John L. Monteith (1972) suggested that the NPP of well-watered and fertilized annual crop plants was linearly related to the amount of solar energy the plants absorbed over a growing season.  This logic combined the meteorological constraint of available sunlight reaching a site with the ecological constraint of the amount of leaf area absorbing the solar energy, while avoiding many complexities of canopy micrometeorology and carbon balance theory. Measures of absorbed photosynthetically active radiation (APAR) integrate the geographic and seasonal variability of day length and potential incident radiation with daily cloud cover and aerosol attenuation of sunlight. In addition, APAR implicitly quantifies the amount of leafy canopy that is displayed to absorb radiation (i.e., LAI). A conversion efficiency, ε, translates APAR (in energy units) to final tissue growth, or NPP (in biomass). GPP is the initial daily total of photosynthesis, and daily net photosynthesis (</w:t>
      </w:r>
      <w:proofErr w:type="spellStart"/>
      <w:r>
        <w:rPr>
          <w:bCs/>
        </w:rPr>
        <w:t>PSN</w:t>
      </w:r>
      <w:r>
        <w:rPr>
          <w:bCs/>
          <w:vertAlign w:val="subscript"/>
        </w:rPr>
        <w:t>net</w:t>
      </w:r>
      <w:proofErr w:type="spellEnd"/>
      <w:r>
        <w:rPr>
          <w:bCs/>
        </w:rPr>
        <w:t xml:space="preserve">) is the difference between this daily total and the sum of leaf and fine-root </w:t>
      </w:r>
      <w:r w:rsidR="00BE46F0">
        <w:rPr>
          <w:bCs/>
        </w:rPr>
        <w:t xml:space="preserve">maintenance </w:t>
      </w:r>
      <w:r>
        <w:rPr>
          <w:bCs/>
        </w:rPr>
        <w:t xml:space="preserve">respiration over a 24-hour day. NPP is the annual sum of daily </w:t>
      </w:r>
      <w:proofErr w:type="spellStart"/>
      <w:r>
        <w:rPr>
          <w:bCs/>
        </w:rPr>
        <w:t>PSN</w:t>
      </w:r>
      <w:r>
        <w:rPr>
          <w:bCs/>
          <w:vertAlign w:val="subscript"/>
        </w:rPr>
        <w:t>net</w:t>
      </w:r>
      <w:proofErr w:type="spellEnd"/>
      <w:r>
        <w:rPr>
          <w:bCs/>
        </w:rPr>
        <w:t xml:space="preserve"> minus the cost of </w:t>
      </w:r>
      <w:r w:rsidR="00BE46F0">
        <w:rPr>
          <w:bCs/>
        </w:rPr>
        <w:t xml:space="preserve">total </w:t>
      </w:r>
      <w:r>
        <w:rPr>
          <w:bCs/>
        </w:rPr>
        <w:t xml:space="preserve">growth </w:t>
      </w:r>
      <w:r w:rsidR="00BE46F0">
        <w:rPr>
          <w:bCs/>
        </w:rPr>
        <w:t xml:space="preserve">respiration </w:t>
      </w:r>
      <w:r>
        <w:rPr>
          <w:bCs/>
        </w:rPr>
        <w:t xml:space="preserve">and maintenance </w:t>
      </w:r>
      <w:r w:rsidR="00BE46F0">
        <w:rPr>
          <w:bCs/>
        </w:rPr>
        <w:t xml:space="preserve">respiration </w:t>
      </w:r>
      <w:r>
        <w:rPr>
          <w:bCs/>
        </w:rPr>
        <w:t>of living cells in permanent woody tissue</w:t>
      </w:r>
      <w:r>
        <w:t xml:space="preserve">. </w:t>
      </w:r>
    </w:p>
    <w:p w14:paraId="5A340E4A" w14:textId="4F598E34" w:rsidR="0078185C" w:rsidRDefault="00000000">
      <w:pPr>
        <w:ind w:firstLine="720"/>
        <w:jc w:val="both"/>
        <w:rPr>
          <w:bCs/>
        </w:rPr>
      </w:pPr>
      <w:r>
        <w:rPr>
          <w:bCs/>
        </w:rPr>
        <w:t>The radiation-use efficiency logic requires an estimate of APAR, while the more typical application of remote sensing data is to provide an estimate of FPAR (m</w:t>
      </w:r>
      <w:r>
        <w:rPr>
          <w:bCs/>
          <w:vertAlign w:val="superscript"/>
        </w:rPr>
        <w:t xml:space="preserve">2 </w:t>
      </w:r>
      <w:r>
        <w:rPr>
          <w:bCs/>
        </w:rPr>
        <w:t>m</w:t>
      </w:r>
      <w:r>
        <w:rPr>
          <w:bCs/>
          <w:vertAlign w:val="superscript"/>
        </w:rPr>
        <w:t>-2</w:t>
      </w:r>
      <w:r>
        <w:rPr>
          <w:bCs/>
        </w:rPr>
        <w:t xml:space="preserve">, or a proportion of land area), the fraction of incident PAR absorbed by the surface. Sellers (1987) showed that APAR could be estimated from remotely sensed vegetation indices. Spectral vegetation indexes such as NDVI most directly quantify the fraction of photosynthetically active radiation (FPAR) that is absorbed (ranging from 0 to 1): FPAR = APAR/PAR ≈ NDVI. </w:t>
      </w:r>
      <w:r>
        <w:t>APAR depends upon (1) the geographic and seasonal variability of day length and potential incident radiation, as modified by cloud cover and aerosols, and (2) the amount and geometry of displayed leaf material.</w:t>
      </w:r>
    </w:p>
    <w:p w14:paraId="4D3BE0CB" w14:textId="60A25888" w:rsidR="0078185C" w:rsidRDefault="6CEBCEED">
      <w:pPr>
        <w:ind w:firstLine="720"/>
        <w:jc w:val="both"/>
      </w:pPr>
      <w:r>
        <w:t xml:space="preserve">Measurements or estimates of PAR are therefore required in addition to the remotely sensed FPAR. Fortunately, for studies over small spatial domains </w:t>
      </w:r>
      <w:proofErr w:type="gramStart"/>
      <w:r>
        <w:t xml:space="preserve">with </w:t>
      </w:r>
      <w:r w:rsidRPr="6CEBCEED">
        <w:rPr>
          <w:i/>
          <w:iCs/>
        </w:rPr>
        <w:t>in</w:t>
      </w:r>
      <w:proofErr w:type="gramEnd"/>
      <w:r w:rsidRPr="6CEBCEED">
        <w:rPr>
          <w:i/>
          <w:iCs/>
        </w:rPr>
        <w:t xml:space="preserve"> situ</w:t>
      </w:r>
      <w:r>
        <w:t xml:space="preserve"> measurements of PAR at the surface, the derivation of APAR from satellite-derived FPAR is straightforward.   Implementation of radiation use efficiency for the MODIS productivity algorithm depends on global daily estimates of PAR, ideally at the same spatial resolution as the remote sensing inputs, a challenging problem. Currently, large-scale meteorological data are provided with low latency by the NASA GMAO, see details below.  </w:t>
      </w:r>
    </w:p>
    <w:p w14:paraId="3C62BB2F" w14:textId="77777777" w:rsidR="009943F8" w:rsidRDefault="009943F8">
      <w:pPr>
        <w:ind w:firstLine="720"/>
        <w:jc w:val="both"/>
      </w:pPr>
    </w:p>
    <w:p w14:paraId="6B00F520" w14:textId="77777777" w:rsidR="009943F8" w:rsidRDefault="009943F8" w:rsidP="009943F8">
      <w:pPr>
        <w:pStyle w:val="Heading2"/>
      </w:pPr>
      <w:bookmarkStart w:id="5" w:name="_Toc181041976"/>
      <w:r>
        <w:t xml:space="preserve">1.2. Biophysical variability </w:t>
      </w:r>
      <w:proofErr w:type="gramStart"/>
      <w:r>
        <w:t xml:space="preserve">of  </w:t>
      </w:r>
      <w:r>
        <w:rPr>
          <w:rFonts w:ascii="Symbol" w:eastAsia="Symbol" w:hAnsi="Symbol" w:cs="Symbol"/>
        </w:rPr>
        <w:t></w:t>
      </w:r>
      <w:bookmarkEnd w:id="5"/>
      <w:proofErr w:type="gramEnd"/>
    </w:p>
    <w:p w14:paraId="1EC8B261" w14:textId="77777777" w:rsidR="009943F8" w:rsidRDefault="009943F8" w:rsidP="009943F8">
      <w:pPr>
        <w:ind w:firstLine="720"/>
        <w:jc w:val="both"/>
      </w:pPr>
    </w:p>
    <w:p w14:paraId="14700058" w14:textId="0211FD43" w:rsidR="009943F8" w:rsidRDefault="009943F8" w:rsidP="009943F8">
      <w:pPr>
        <w:ind w:firstLine="720"/>
        <w:jc w:val="both"/>
      </w:pPr>
      <w:r>
        <w:t xml:space="preserve">The PAR conversion efficiency </w:t>
      </w:r>
      <w:r>
        <w:rPr>
          <w:rFonts w:ascii="Symbol" w:eastAsia="Symbol" w:hAnsi="Symbol" w:cs="Symbol"/>
        </w:rPr>
        <w:t></w:t>
      </w:r>
      <w:r>
        <w:t xml:space="preserve">, varies widely with different vegetation types (Field et al. 1995, Prince and </w:t>
      </w:r>
      <w:proofErr w:type="spellStart"/>
      <w:r>
        <w:t>Goward</w:t>
      </w:r>
      <w:proofErr w:type="spellEnd"/>
      <w:r>
        <w:t xml:space="preserve"> 1995, Turner et al. 2003). There are two principal sources of this variability. First, with any vegetation, some photosynthesis is immediately used for maintenance </w:t>
      </w:r>
      <w:r>
        <w:lastRenderedPageBreak/>
        <w:t xml:space="preserve">respiration. For the annual crop plants from the original theory of Monteith (1972), these respiration costs were minimal, so </w:t>
      </w:r>
      <w:r>
        <w:rPr>
          <w:rFonts w:ascii="Symbol" w:eastAsia="Symbol" w:hAnsi="Symbol" w:cs="Symbol"/>
        </w:rPr>
        <w:t></w:t>
      </w:r>
      <w:r>
        <w:t xml:space="preserve"> was typically around 2 </w:t>
      </w:r>
      <w:proofErr w:type="spellStart"/>
      <w:r>
        <w:t>gC</w:t>
      </w:r>
      <w:proofErr w:type="spellEnd"/>
      <w:r>
        <w:t xml:space="preserve">/MJ. Respiration costs, however, increase with the size of perennial plants. Hunt (1994) found published </w:t>
      </w:r>
      <w:r>
        <w:rPr>
          <w:rFonts w:ascii="Symbol" w:eastAsia="Symbol" w:hAnsi="Symbol" w:cs="Symbol"/>
        </w:rPr>
        <w:t></w:t>
      </w:r>
      <w:r>
        <w:t xml:space="preserve"> values for woody vegetation were much lower than that reported for annual crops, ranging from about 0.2 to 1.5 </w:t>
      </w:r>
      <w:proofErr w:type="spellStart"/>
      <w:r>
        <w:t>gC</w:t>
      </w:r>
      <w:proofErr w:type="spellEnd"/>
      <w:r>
        <w:t xml:space="preserve">/MJ, and hypothesized that this was the result of respiration from the 6-27% of living cells in the sapwood of woody stems (Waring and Running 2010). </w:t>
      </w:r>
    </w:p>
    <w:p w14:paraId="7D4154A4" w14:textId="77777777" w:rsidR="00207FA1" w:rsidRDefault="00207FA1" w:rsidP="009943F8">
      <w:pPr>
        <w:ind w:firstLine="720"/>
        <w:jc w:val="both"/>
      </w:pPr>
    </w:p>
    <w:p w14:paraId="6A962552" w14:textId="31382DF8" w:rsidR="0078185C" w:rsidRDefault="009943F8">
      <w:pPr>
        <w:jc w:val="both"/>
        <w:rPr>
          <w:b/>
          <w:i/>
          <w:iCs/>
        </w:rPr>
      </w:pPr>
      <w:r>
        <w:rPr>
          <w:b/>
          <w:i/>
          <w:iCs/>
          <w:noProof/>
        </w:rPr>
        <w:drawing>
          <wp:anchor distT="0" distB="0" distL="114300" distR="114300" simplePos="0" relativeHeight="9" behindDoc="0" locked="0" layoutInCell="1" allowOverlap="1" wp14:anchorId="4957E9C2" wp14:editId="04D9C4D1">
            <wp:simplePos x="0" y="0"/>
            <wp:positionH relativeFrom="margin">
              <wp:posOffset>200517</wp:posOffset>
            </wp:positionH>
            <wp:positionV relativeFrom="paragraph">
              <wp:posOffset>69215</wp:posOffset>
            </wp:positionV>
            <wp:extent cx="5698777" cy="2826352"/>
            <wp:effectExtent l="0" t="0" r="3810" b="6350"/>
            <wp:wrapNone/>
            <wp:docPr id="6" name="Picture 27" descr="Limiting_factor_inter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7" descr="Limiting_factor_interactions"/>
                    <pic:cNvPicPr>
                      <a:picLocks noChangeAspect="1" noChangeArrowheads="1"/>
                    </pic:cNvPicPr>
                  </pic:nvPicPr>
                  <pic:blipFill>
                    <a:blip r:embed="rId11"/>
                    <a:stretch>
                      <a:fillRect/>
                    </a:stretch>
                  </pic:blipFill>
                  <pic:spPr bwMode="auto">
                    <a:xfrm>
                      <a:off x="0" y="0"/>
                      <a:ext cx="5698777" cy="2826352"/>
                    </a:xfrm>
                    <a:prstGeom prst="rect">
                      <a:avLst/>
                    </a:prstGeom>
                  </pic:spPr>
                </pic:pic>
              </a:graphicData>
            </a:graphic>
            <wp14:sizeRelH relativeFrom="margin">
              <wp14:pctWidth>0</wp14:pctWidth>
            </wp14:sizeRelH>
            <wp14:sizeRelV relativeFrom="margin">
              <wp14:pctHeight>0</wp14:pctHeight>
            </wp14:sizeRelV>
          </wp:anchor>
        </w:drawing>
      </w:r>
    </w:p>
    <w:p w14:paraId="4101652C" w14:textId="1A9A6C44" w:rsidR="0078185C" w:rsidRDefault="0078185C">
      <w:pPr>
        <w:jc w:val="both"/>
        <w:rPr>
          <w:b/>
          <w:i/>
          <w:iCs/>
        </w:rPr>
      </w:pPr>
    </w:p>
    <w:p w14:paraId="1B22B90A" w14:textId="77777777" w:rsidR="009943F8" w:rsidRDefault="009943F8">
      <w:pPr>
        <w:jc w:val="both"/>
        <w:rPr>
          <w:b/>
          <w:i/>
          <w:iCs/>
        </w:rPr>
      </w:pPr>
    </w:p>
    <w:p w14:paraId="037B6226" w14:textId="77777777" w:rsidR="009943F8" w:rsidRDefault="009943F8">
      <w:pPr>
        <w:jc w:val="both"/>
        <w:rPr>
          <w:b/>
          <w:i/>
          <w:iCs/>
        </w:rPr>
      </w:pPr>
    </w:p>
    <w:p w14:paraId="5FBB80E8" w14:textId="77777777" w:rsidR="009943F8" w:rsidRDefault="009943F8">
      <w:pPr>
        <w:jc w:val="both"/>
        <w:rPr>
          <w:b/>
          <w:i/>
          <w:iCs/>
        </w:rPr>
      </w:pPr>
    </w:p>
    <w:p w14:paraId="3ED4A5C8" w14:textId="77777777" w:rsidR="009943F8" w:rsidRDefault="009943F8">
      <w:pPr>
        <w:jc w:val="both"/>
        <w:rPr>
          <w:b/>
          <w:i/>
          <w:iCs/>
        </w:rPr>
      </w:pPr>
    </w:p>
    <w:p w14:paraId="43082C27" w14:textId="77777777" w:rsidR="009943F8" w:rsidRDefault="009943F8">
      <w:pPr>
        <w:jc w:val="both"/>
        <w:rPr>
          <w:b/>
          <w:i/>
          <w:iCs/>
        </w:rPr>
      </w:pPr>
    </w:p>
    <w:p w14:paraId="35DC8C62" w14:textId="77777777" w:rsidR="009943F8" w:rsidRDefault="009943F8">
      <w:pPr>
        <w:jc w:val="both"/>
        <w:rPr>
          <w:b/>
          <w:i/>
          <w:iCs/>
        </w:rPr>
      </w:pPr>
    </w:p>
    <w:p w14:paraId="181D9E37" w14:textId="77777777" w:rsidR="009943F8" w:rsidRDefault="009943F8">
      <w:pPr>
        <w:jc w:val="both"/>
        <w:rPr>
          <w:b/>
          <w:i/>
          <w:iCs/>
        </w:rPr>
      </w:pPr>
    </w:p>
    <w:p w14:paraId="3C10B90E" w14:textId="77777777" w:rsidR="009943F8" w:rsidRDefault="009943F8">
      <w:pPr>
        <w:jc w:val="both"/>
        <w:rPr>
          <w:b/>
          <w:i/>
          <w:iCs/>
        </w:rPr>
      </w:pPr>
    </w:p>
    <w:p w14:paraId="3176F2CE" w14:textId="77777777" w:rsidR="009943F8" w:rsidRDefault="009943F8">
      <w:pPr>
        <w:jc w:val="both"/>
        <w:rPr>
          <w:b/>
          <w:i/>
          <w:iCs/>
        </w:rPr>
      </w:pPr>
    </w:p>
    <w:p w14:paraId="28E00121" w14:textId="77777777" w:rsidR="009943F8" w:rsidRDefault="009943F8">
      <w:pPr>
        <w:jc w:val="both"/>
        <w:rPr>
          <w:b/>
          <w:i/>
          <w:iCs/>
        </w:rPr>
      </w:pPr>
    </w:p>
    <w:p w14:paraId="4AC5314F" w14:textId="77777777" w:rsidR="009943F8" w:rsidRDefault="009943F8">
      <w:pPr>
        <w:jc w:val="both"/>
        <w:rPr>
          <w:b/>
          <w:i/>
          <w:iCs/>
        </w:rPr>
      </w:pPr>
    </w:p>
    <w:p w14:paraId="78DA8A8A" w14:textId="77777777" w:rsidR="009943F8" w:rsidRDefault="009943F8">
      <w:pPr>
        <w:jc w:val="both"/>
        <w:rPr>
          <w:b/>
          <w:i/>
          <w:iCs/>
        </w:rPr>
      </w:pPr>
    </w:p>
    <w:p w14:paraId="26C7CED2" w14:textId="77777777" w:rsidR="009943F8" w:rsidRDefault="009943F8">
      <w:pPr>
        <w:jc w:val="both"/>
        <w:rPr>
          <w:b/>
          <w:i/>
          <w:iCs/>
        </w:rPr>
      </w:pPr>
    </w:p>
    <w:p w14:paraId="327CF7A2" w14:textId="77777777" w:rsidR="009943F8" w:rsidRDefault="009943F8">
      <w:pPr>
        <w:jc w:val="both"/>
        <w:rPr>
          <w:b/>
          <w:i/>
          <w:iCs/>
        </w:rPr>
      </w:pPr>
    </w:p>
    <w:p w14:paraId="296604F0" w14:textId="77777777" w:rsidR="009943F8" w:rsidRDefault="009943F8">
      <w:pPr>
        <w:jc w:val="both"/>
        <w:rPr>
          <w:b/>
          <w:i/>
          <w:iCs/>
        </w:rPr>
      </w:pPr>
    </w:p>
    <w:p w14:paraId="04B16F2E" w14:textId="374D3E91" w:rsidR="0078185C" w:rsidRDefault="00000000">
      <w:pPr>
        <w:jc w:val="both"/>
      </w:pPr>
      <w:r>
        <w:rPr>
          <w:b/>
          <w:i/>
          <w:iCs/>
        </w:rPr>
        <w:t>Figure 1.</w:t>
      </w:r>
      <w:r w:rsidR="00761723">
        <w:rPr>
          <w:b/>
          <w:i/>
          <w:iCs/>
        </w:rPr>
        <w:t>1.</w:t>
      </w:r>
      <w:r>
        <w:rPr>
          <w:b/>
          <w:i/>
          <w:iCs/>
        </w:rPr>
        <w:t xml:space="preserve"> </w:t>
      </w:r>
      <w:r>
        <w:rPr>
          <w:i/>
          <w:iCs/>
        </w:rPr>
        <w:t xml:space="preserve">Analysis of the geographic variation in climatic controls of terrestrial net primary production from water, temperature, and radiation limitations.  Data are from </w:t>
      </w:r>
      <w:proofErr w:type="spellStart"/>
      <w:r>
        <w:rPr>
          <w:i/>
          <w:iCs/>
        </w:rPr>
        <w:t>Nemani</w:t>
      </w:r>
      <w:proofErr w:type="spellEnd"/>
      <w:r>
        <w:rPr>
          <w:i/>
          <w:iCs/>
        </w:rPr>
        <w:t xml:space="preserve"> and colleagues (2003).</w:t>
      </w:r>
    </w:p>
    <w:p w14:paraId="4B99056E" w14:textId="77777777" w:rsidR="0078185C" w:rsidRDefault="0078185C">
      <w:pPr>
        <w:jc w:val="both"/>
      </w:pPr>
    </w:p>
    <w:p w14:paraId="1FFD14A8" w14:textId="7B54551C" w:rsidR="0078185C" w:rsidRDefault="6CEBCEED">
      <w:pPr>
        <w:ind w:firstLine="720"/>
        <w:jc w:val="both"/>
      </w:pPr>
      <w:r>
        <w:t xml:space="preserve">The second source of variability in </w:t>
      </w:r>
      <w:r w:rsidRPr="6CEBCEED">
        <w:rPr>
          <w:rFonts w:ascii="Symbol" w:eastAsia="Symbol" w:hAnsi="Symbol" w:cs="Symbol"/>
        </w:rPr>
        <w:t></w:t>
      </w:r>
      <w:r>
        <w:t xml:space="preserve"> is attributed to sub-optimal climatic conditions</w:t>
      </w:r>
      <w:r w:rsidR="00761723">
        <w:t xml:space="preserve"> (Figure 1.1)</w:t>
      </w:r>
      <w:r>
        <w:t>. To extrapolate Monteith’s original theory</w:t>
      </w:r>
      <w:r w:rsidRPr="6CEBCEED">
        <w:rPr>
          <w:rFonts w:ascii="wasy10" w:eastAsia="wasy10" w:hAnsi="wasy10" w:cs="wasy10"/>
        </w:rPr>
        <w:t>—</w:t>
      </w:r>
      <w:r>
        <w:t>designed for well-watered crops only during the growing season</w:t>
      </w:r>
      <w:r w:rsidRPr="6CEBCEED">
        <w:rPr>
          <w:rFonts w:ascii="wasy10" w:eastAsia="wasy10" w:hAnsi="wasy10" w:cs="wasy10"/>
        </w:rPr>
        <w:t>—</w:t>
      </w:r>
      <w:r>
        <w:t xml:space="preserve">to perennial plants living year around, certain severe climatic constraints must be recognized. Evergreen vegetation such as conifer trees or </w:t>
      </w:r>
      <w:proofErr w:type="spellStart"/>
      <w:r>
        <w:t>schlerophyllous</w:t>
      </w:r>
      <w:proofErr w:type="spellEnd"/>
      <w:r>
        <w:t xml:space="preserve"> shrubs can absorb PAR year-round, yet sub-freezing temperatures stop photosynthesis because leaf stomata are forced to close (Waring and Running 2010). As a global generalization, we truncate GPP on days when the air temperature is below 0 </w:t>
      </w:r>
      <w:r w:rsidRPr="6CEBCEED">
        <w:rPr>
          <w:rFonts w:ascii="Symbol" w:eastAsia="Symbol" w:hAnsi="Symbol" w:cs="Symbol"/>
        </w:rPr>
        <w:t></w:t>
      </w:r>
      <w:r>
        <w:t xml:space="preserve">C. Additionally, high vapor pressure deficits, &gt;2000 Pa, have been shown to induce stomatal closure in many species. This level of daily atmospheric water deficit is commonly reached in semi-arid regions of the world for much of the growing season. So, our algorithm mimics this physiological control by progressively limiting daily GPP, reducing </w:t>
      </w:r>
      <w:r w:rsidRPr="6CEBCEED">
        <w:rPr>
          <w:rFonts w:ascii="Symbol" w:eastAsia="Symbol" w:hAnsi="Symbol" w:cs="Symbol"/>
        </w:rPr>
        <w:t></w:t>
      </w:r>
      <w:r>
        <w:t xml:space="preserve"> when high vapor pressure deficits (VPD) are computed from the surface meteorology. We also assume nutrient constraints on vegetation growth </w:t>
      </w:r>
      <w:r w:rsidRPr="6CEBCEED">
        <w:t>are expressed</w:t>
      </w:r>
      <w:r>
        <w:t xml:space="preserve"> by limiting leaf area (</w:t>
      </w:r>
      <w:r w:rsidRPr="6CEBCEED">
        <w:t>i.e.</w:t>
      </w:r>
      <w:r>
        <w:t xml:space="preserve">, FPAR and LAI), rather than attempting to compute a constraint through </w:t>
      </w:r>
      <w:r w:rsidRPr="6CEBCEED">
        <w:rPr>
          <w:rFonts w:ascii="Symbol" w:eastAsia="Symbol" w:hAnsi="Symbol" w:cs="Symbol"/>
        </w:rPr>
        <w:t></w:t>
      </w:r>
      <w:r>
        <w:t xml:space="preserve">. This assumption isn’t entirely accurate, as ranges of leaf nitrogen and photosynthetic capacity occur in all vegetation types (Reich et al. 1994, Reich et al. 1995, Turner et al. 2003). Spectral reflectance data are somewhat sensitive to leaf chemistry, so the </w:t>
      </w:r>
      <w:r w:rsidRPr="6CEBCEED">
        <w:t>VIIRS</w:t>
      </w:r>
      <w:r>
        <w:t>-derived FPAR and LAI may represent some differences in leaf nitrogen content, but in an undetermined way.</w:t>
      </w:r>
    </w:p>
    <w:p w14:paraId="3B94CEBB" w14:textId="06100394" w:rsidR="29B8089E" w:rsidRDefault="29B8089E" w:rsidP="29B8089E">
      <w:pPr>
        <w:jc w:val="both"/>
      </w:pPr>
      <w:r>
        <w:lastRenderedPageBreak/>
        <w:tab/>
        <w:t xml:space="preserve">To quantify these biome- and climate-sensitive ranges of </w:t>
      </w:r>
      <w:r w:rsidRPr="29B8089E">
        <w:rPr>
          <w:rFonts w:ascii="Symbol" w:eastAsia="Symbol" w:hAnsi="Symbol" w:cs="Symbol"/>
        </w:rPr>
        <w:t xml:space="preserve"> </w:t>
      </w:r>
      <w:r w:rsidRPr="00977C54">
        <w:t xml:space="preserve">and other </w:t>
      </w:r>
      <w:r w:rsidRPr="29B8089E">
        <w:t xml:space="preserve">model </w:t>
      </w:r>
      <w:r w:rsidRPr="00977C54">
        <w:t>parameters</w:t>
      </w:r>
      <w:r w:rsidRPr="29B8089E">
        <w:rPr>
          <w:rFonts w:ascii="Symbol" w:eastAsia="Symbol" w:hAnsi="Symbol" w:cs="Symbol"/>
        </w:rPr>
        <w:t xml:space="preserve">, </w:t>
      </w:r>
      <w:r w:rsidRPr="29B8089E">
        <w:t xml:space="preserve">we calibrated VNP17 using GPP data from a global network of eddy covariance (EC) towers and NPP data from global field studies (Endsley et al. 2023). Bayesian model-data fusion was used to estimate the best-fit model parameters </w:t>
      </w:r>
      <w:r w:rsidR="007F0466" w:rsidRPr="29B8089E">
        <w:t>considering</w:t>
      </w:r>
      <w:r w:rsidRPr="29B8089E">
        <w:t xml:space="preserve"> the observed GPP or NPP fluxes, based on prior information from the literature (e.g., White et al. 2000) and from an inventory of plant traits measured </w:t>
      </w:r>
      <w:r w:rsidR="00071968" w:rsidRPr="00071968">
        <w:t>from the global TRY database (</w:t>
      </w:r>
      <w:proofErr w:type="spellStart"/>
      <w:r w:rsidR="00071968" w:rsidRPr="00071968">
        <w:t>Kattge</w:t>
      </w:r>
      <w:proofErr w:type="spellEnd"/>
      <w:r w:rsidR="00071968" w:rsidRPr="00071968">
        <w:t xml:space="preserve"> et al.,</w:t>
      </w:r>
      <w:r w:rsidR="00071968">
        <w:t xml:space="preserve"> 2020</w:t>
      </w:r>
      <w:r w:rsidR="00071968" w:rsidRPr="00071968">
        <w:t>)</w:t>
      </w:r>
      <w:r w:rsidRPr="29B8089E">
        <w:t>. This approach also provides an estimate of the uncertainty in VNP17 GPP and NPP estimates due to uncertainty in model parameters</w:t>
      </w:r>
      <w:r w:rsidR="00DE4855">
        <w:t xml:space="preserve"> </w:t>
      </w:r>
      <w:r w:rsidR="00DE4855" w:rsidRPr="29B8089E">
        <w:t>(Endsley et al. 2023)</w:t>
      </w:r>
      <w:r w:rsidRPr="29B8089E">
        <w:t>.</w:t>
      </w:r>
      <w:r w:rsidR="006C5ACE">
        <w:t xml:space="preserve">  </w:t>
      </w:r>
      <w:r w:rsidR="00FB202C">
        <w:t xml:space="preserve">VIIRS C2 VNP17 GPP and NPP are using </w:t>
      </w:r>
      <w:r w:rsidR="006C5ACE">
        <w:t>the recalibrated parameters</w:t>
      </w:r>
      <w:r w:rsidR="00FB202C">
        <w:t>.</w:t>
      </w:r>
    </w:p>
    <w:p w14:paraId="0821742A" w14:textId="13897003" w:rsidR="0078185C" w:rsidRDefault="00000000">
      <w:pPr>
        <w:ind w:firstLine="720"/>
        <w:jc w:val="both"/>
      </w:pPr>
      <w:r>
        <w:t>Since the relationships between temperature and the processes controlling GPP and those controlling autotrophic respiration are fundamentally different, it seems likely that the empirical parameterization of the influence of temperature on production efficiency would be more robust if the gross production and autotrophic respiration processes were separated. This is the approach employed in both the MOD17 and VNP17 algorithms.</w:t>
      </w:r>
    </w:p>
    <w:p w14:paraId="4DDBEF00" w14:textId="77777777" w:rsidR="0078185C" w:rsidRDefault="0078185C">
      <w:pPr>
        <w:jc w:val="both"/>
      </w:pPr>
    </w:p>
    <w:p w14:paraId="31368D23" w14:textId="77777777" w:rsidR="0078185C" w:rsidRDefault="00000000">
      <w:pPr>
        <w:pStyle w:val="Heading2"/>
        <w:rPr>
          <w:sz w:val="28"/>
          <w:szCs w:val="28"/>
        </w:rPr>
      </w:pPr>
      <w:bookmarkStart w:id="6" w:name="_Toc181041977"/>
      <w:r>
        <w:t>1.3. The VNP17/VJ117 algorithm logic</w:t>
      </w:r>
      <w:bookmarkEnd w:id="6"/>
    </w:p>
    <w:p w14:paraId="3461D779" w14:textId="77777777" w:rsidR="0078185C" w:rsidRDefault="0078185C">
      <w:pPr>
        <w:ind w:firstLine="720"/>
        <w:jc w:val="both"/>
        <w:rPr>
          <w:b/>
          <w:bCs/>
        </w:rPr>
      </w:pPr>
    </w:p>
    <w:p w14:paraId="166EBA94" w14:textId="77777777" w:rsidR="0078185C" w:rsidRDefault="00000000">
      <w:pPr>
        <w:pStyle w:val="Heading3"/>
        <w:jc w:val="left"/>
      </w:pPr>
      <w:bookmarkStart w:id="7" w:name="_Toc181041978"/>
      <w:r>
        <w:t>1.3.1. Gross primary productivity.</w:t>
      </w:r>
      <w:bookmarkEnd w:id="7"/>
      <w:r>
        <w:t xml:space="preserve"> </w:t>
      </w:r>
    </w:p>
    <w:p w14:paraId="2D6154EA" w14:textId="77777777" w:rsidR="00207FA1" w:rsidRDefault="00207FA1" w:rsidP="00207FA1">
      <w:pPr>
        <w:jc w:val="both"/>
      </w:pPr>
    </w:p>
    <w:p w14:paraId="61516F79" w14:textId="77777777" w:rsidR="00207FA1" w:rsidRDefault="00207FA1" w:rsidP="00207FA1">
      <w:pPr>
        <w:ind w:firstLine="720"/>
        <w:jc w:val="both"/>
      </w:pPr>
      <w:r>
        <w:t>The core science of the algorithm is an application of the described radiation conversion efficiency concept to predictions of daily GPP, using satellite-derived FPAR (from 8-day VNP15A2H for VNP17A2 or 8-day VJ115A2H for VJ117A2) and independent estimates of PAR and other surface meteorological fields from the global, hourly meteorological data created by the NASA GMAO, and the subsequent estimates of maintenance and growth respiration. Respiration terms are subtracted from GPP to arrive at annual NPP. The maintenance respiration (MR) arises from allometric relationships linking daily biomass to satellite-derived estimates of leaf area index (LAI, VNP15A2H). These allometric relationships have been developed from an extensive literature review and incorporate the same parameters as those used in the BIOME-BGC ecosystem process model (Running and Hunt 1993; White et al. 2000).</w:t>
      </w:r>
    </w:p>
    <w:p w14:paraId="3B9E5D89" w14:textId="77777777" w:rsidR="00207FA1" w:rsidRDefault="00207FA1" w:rsidP="00BE1053">
      <w:pPr>
        <w:jc w:val="both"/>
      </w:pPr>
    </w:p>
    <w:p w14:paraId="06EEF454" w14:textId="77777777" w:rsidR="0078185C" w:rsidRDefault="00000000">
      <w:pPr>
        <w:jc w:val="both"/>
        <w:rPr>
          <w:b/>
          <w:i/>
        </w:rPr>
      </w:pPr>
      <w:r>
        <w:rPr>
          <w:b/>
          <w:bCs/>
          <w:i/>
        </w:rPr>
        <w:t>Table 1.1.</w:t>
      </w:r>
      <w:r>
        <w:rPr>
          <w:i/>
        </w:rPr>
        <w:t xml:space="preserve"> BPLUT parameters for daily gross primary productivity.</w:t>
      </w:r>
    </w:p>
    <w:tbl>
      <w:tblPr>
        <w:tblW w:w="9265" w:type="dxa"/>
        <w:tblLook w:val="0000" w:firstRow="0" w:lastRow="0" w:firstColumn="0" w:lastColumn="0" w:noHBand="0" w:noVBand="0"/>
      </w:tblPr>
      <w:tblGrid>
        <w:gridCol w:w="1548"/>
        <w:gridCol w:w="1560"/>
        <w:gridCol w:w="6157"/>
      </w:tblGrid>
      <w:tr w:rsidR="0078185C" w14:paraId="424FB95F" w14:textId="77777777" w:rsidTr="00977C54">
        <w:tc>
          <w:tcPr>
            <w:tcW w:w="1548" w:type="dxa"/>
            <w:tcBorders>
              <w:top w:val="single" w:sz="4" w:space="0" w:color="000000"/>
              <w:left w:val="single" w:sz="4" w:space="0" w:color="000000"/>
              <w:bottom w:val="double" w:sz="4" w:space="0" w:color="000000"/>
              <w:right w:val="single" w:sz="4" w:space="0" w:color="000000"/>
            </w:tcBorders>
          </w:tcPr>
          <w:p w14:paraId="1471D45A" w14:textId="77777777" w:rsidR="0078185C" w:rsidRDefault="00000000">
            <w:pPr>
              <w:jc w:val="both"/>
              <w:rPr>
                <w:b/>
                <w:bCs/>
              </w:rPr>
            </w:pPr>
            <w:r>
              <w:rPr>
                <w:b/>
                <w:bCs/>
              </w:rPr>
              <w:t>Parameter</w:t>
            </w:r>
          </w:p>
        </w:tc>
        <w:tc>
          <w:tcPr>
            <w:tcW w:w="1560" w:type="dxa"/>
            <w:tcBorders>
              <w:top w:val="single" w:sz="4" w:space="0" w:color="000000"/>
              <w:left w:val="single" w:sz="4" w:space="0" w:color="000000"/>
              <w:bottom w:val="double" w:sz="4" w:space="0" w:color="000000"/>
              <w:right w:val="single" w:sz="4" w:space="0" w:color="000000"/>
            </w:tcBorders>
          </w:tcPr>
          <w:p w14:paraId="0AC1953D" w14:textId="77777777" w:rsidR="0078185C" w:rsidRDefault="00000000">
            <w:pPr>
              <w:jc w:val="both"/>
              <w:rPr>
                <w:b/>
                <w:bCs/>
              </w:rPr>
            </w:pPr>
            <w:r>
              <w:rPr>
                <w:b/>
                <w:bCs/>
              </w:rPr>
              <w:t>Units</w:t>
            </w:r>
          </w:p>
        </w:tc>
        <w:tc>
          <w:tcPr>
            <w:tcW w:w="6157" w:type="dxa"/>
            <w:tcBorders>
              <w:top w:val="single" w:sz="4" w:space="0" w:color="000000"/>
              <w:left w:val="single" w:sz="4" w:space="0" w:color="000000"/>
              <w:bottom w:val="double" w:sz="4" w:space="0" w:color="000000"/>
              <w:right w:val="single" w:sz="4" w:space="0" w:color="000000"/>
            </w:tcBorders>
          </w:tcPr>
          <w:p w14:paraId="31FF54C8" w14:textId="77777777" w:rsidR="0078185C" w:rsidRDefault="00000000">
            <w:pPr>
              <w:jc w:val="both"/>
              <w:rPr>
                <w:b/>
                <w:bCs/>
              </w:rPr>
            </w:pPr>
            <w:r>
              <w:rPr>
                <w:b/>
                <w:bCs/>
              </w:rPr>
              <w:t>Description</w:t>
            </w:r>
          </w:p>
        </w:tc>
      </w:tr>
      <w:tr w:rsidR="0078185C" w14:paraId="0F24C7DD" w14:textId="77777777" w:rsidTr="00977C54">
        <w:tc>
          <w:tcPr>
            <w:tcW w:w="1548" w:type="dxa"/>
            <w:tcBorders>
              <w:top w:val="double" w:sz="4" w:space="0" w:color="000000"/>
              <w:left w:val="single" w:sz="4" w:space="0" w:color="000000"/>
              <w:bottom w:val="single" w:sz="4" w:space="0" w:color="000000"/>
              <w:right w:val="single" w:sz="4" w:space="0" w:color="000000"/>
            </w:tcBorders>
          </w:tcPr>
          <w:p w14:paraId="1F9C263B" w14:textId="77777777" w:rsidR="0078185C" w:rsidRDefault="00000000">
            <w:pPr>
              <w:jc w:val="both"/>
            </w:pPr>
            <w:r>
              <w:rPr>
                <w:rFonts w:ascii="Symbol" w:eastAsia="Symbol" w:hAnsi="Symbol" w:cs="Symbol"/>
              </w:rPr>
              <w:t></w:t>
            </w:r>
            <w:r>
              <w:rPr>
                <w:vertAlign w:val="subscript"/>
              </w:rPr>
              <w:t>max</w:t>
            </w:r>
          </w:p>
        </w:tc>
        <w:tc>
          <w:tcPr>
            <w:tcW w:w="1560" w:type="dxa"/>
            <w:tcBorders>
              <w:top w:val="double" w:sz="4" w:space="0" w:color="000000"/>
              <w:left w:val="single" w:sz="4" w:space="0" w:color="000000"/>
              <w:bottom w:val="single" w:sz="4" w:space="0" w:color="000000"/>
              <w:right w:val="single" w:sz="4" w:space="0" w:color="000000"/>
            </w:tcBorders>
          </w:tcPr>
          <w:p w14:paraId="5923AC63" w14:textId="77777777" w:rsidR="0078185C" w:rsidRDefault="00000000">
            <w:pPr>
              <w:jc w:val="both"/>
            </w:pPr>
            <w:r>
              <w:t>(kg C MJ</w:t>
            </w:r>
            <w:r>
              <w:rPr>
                <w:vertAlign w:val="superscript"/>
              </w:rPr>
              <w:t>-1</w:t>
            </w:r>
            <w:r>
              <w:t>)</w:t>
            </w:r>
          </w:p>
        </w:tc>
        <w:tc>
          <w:tcPr>
            <w:tcW w:w="6157" w:type="dxa"/>
            <w:tcBorders>
              <w:top w:val="double" w:sz="4" w:space="0" w:color="000000"/>
              <w:left w:val="single" w:sz="4" w:space="0" w:color="000000"/>
              <w:bottom w:val="single" w:sz="4" w:space="0" w:color="000000"/>
              <w:right w:val="single" w:sz="4" w:space="0" w:color="000000"/>
            </w:tcBorders>
          </w:tcPr>
          <w:p w14:paraId="00E8B964" w14:textId="77777777" w:rsidR="0078185C" w:rsidRDefault="00000000">
            <w:pPr>
              <w:jc w:val="both"/>
            </w:pPr>
            <w:r>
              <w:t>The maximum radiation conversion efficiency</w:t>
            </w:r>
          </w:p>
        </w:tc>
      </w:tr>
      <w:tr w:rsidR="0078185C" w14:paraId="043656C4" w14:textId="77777777" w:rsidTr="00977C54">
        <w:tc>
          <w:tcPr>
            <w:tcW w:w="1548" w:type="dxa"/>
            <w:tcBorders>
              <w:top w:val="single" w:sz="4" w:space="0" w:color="000000"/>
              <w:left w:val="single" w:sz="4" w:space="0" w:color="000000"/>
              <w:bottom w:val="single" w:sz="4" w:space="0" w:color="000000"/>
              <w:right w:val="single" w:sz="4" w:space="0" w:color="000000"/>
            </w:tcBorders>
          </w:tcPr>
          <w:p w14:paraId="114507DA" w14:textId="77777777" w:rsidR="0078185C" w:rsidRDefault="00000000">
            <w:pPr>
              <w:jc w:val="both"/>
            </w:pPr>
            <w:proofErr w:type="spellStart"/>
            <w:r>
              <w:t>TMINmax</w:t>
            </w:r>
            <w:proofErr w:type="spellEnd"/>
          </w:p>
        </w:tc>
        <w:tc>
          <w:tcPr>
            <w:tcW w:w="1560" w:type="dxa"/>
            <w:tcBorders>
              <w:top w:val="single" w:sz="4" w:space="0" w:color="000000"/>
              <w:left w:val="single" w:sz="4" w:space="0" w:color="000000"/>
              <w:bottom w:val="single" w:sz="4" w:space="0" w:color="000000"/>
              <w:right w:val="single" w:sz="4" w:space="0" w:color="000000"/>
            </w:tcBorders>
          </w:tcPr>
          <w:p w14:paraId="3BD27EF7" w14:textId="77777777" w:rsidR="0078185C" w:rsidRDefault="00000000">
            <w:pPr>
              <w:jc w:val="both"/>
            </w:pPr>
            <w:r>
              <w:t>(</w:t>
            </w:r>
            <w:r>
              <w:rPr>
                <w:rFonts w:ascii="Symbol" w:eastAsia="Symbol" w:hAnsi="Symbol" w:cs="Symbol"/>
                <w:bCs/>
              </w:rPr>
              <w:t></w:t>
            </w:r>
            <w:r>
              <w:rPr>
                <w:bCs/>
              </w:rPr>
              <w:t>C)</w:t>
            </w:r>
          </w:p>
        </w:tc>
        <w:tc>
          <w:tcPr>
            <w:tcW w:w="6157" w:type="dxa"/>
            <w:tcBorders>
              <w:top w:val="single" w:sz="4" w:space="0" w:color="000000"/>
              <w:left w:val="single" w:sz="4" w:space="0" w:color="000000"/>
              <w:bottom w:val="single" w:sz="4" w:space="0" w:color="000000"/>
              <w:right w:val="single" w:sz="4" w:space="0" w:color="000000"/>
            </w:tcBorders>
          </w:tcPr>
          <w:p w14:paraId="56353F3E" w14:textId="77777777" w:rsidR="0078185C" w:rsidRDefault="00000000">
            <w:pPr>
              <w:jc w:val="both"/>
            </w:pPr>
            <w:r>
              <w:t xml:space="preserve">The daily minimum temperature at which </w:t>
            </w:r>
            <w:r>
              <w:rPr>
                <w:rFonts w:ascii="Symbol" w:eastAsia="Symbol" w:hAnsi="Symbol" w:cs="Symbol"/>
              </w:rPr>
              <w:t></w:t>
            </w:r>
            <w:r>
              <w:t xml:space="preserve"> = </w:t>
            </w:r>
            <w:r>
              <w:rPr>
                <w:rFonts w:ascii="Symbol" w:eastAsia="Symbol" w:hAnsi="Symbol" w:cs="Symbol"/>
              </w:rPr>
              <w:t></w:t>
            </w:r>
            <w:r>
              <w:rPr>
                <w:vertAlign w:val="subscript"/>
              </w:rPr>
              <w:t>max</w:t>
            </w:r>
            <w:r>
              <w:t xml:space="preserve"> (for optimal VPD)</w:t>
            </w:r>
          </w:p>
        </w:tc>
      </w:tr>
      <w:tr w:rsidR="0078185C" w14:paraId="64832E5F" w14:textId="77777777" w:rsidTr="00977C54">
        <w:tc>
          <w:tcPr>
            <w:tcW w:w="1548" w:type="dxa"/>
            <w:tcBorders>
              <w:top w:val="single" w:sz="4" w:space="0" w:color="000000"/>
              <w:left w:val="single" w:sz="4" w:space="0" w:color="000000"/>
              <w:bottom w:val="single" w:sz="4" w:space="0" w:color="000000"/>
              <w:right w:val="single" w:sz="4" w:space="0" w:color="000000"/>
            </w:tcBorders>
          </w:tcPr>
          <w:p w14:paraId="55FFAB30" w14:textId="77777777" w:rsidR="0078185C" w:rsidRDefault="00000000">
            <w:pPr>
              <w:jc w:val="both"/>
            </w:pPr>
            <w:proofErr w:type="spellStart"/>
            <w:r>
              <w:t>TMINmin</w:t>
            </w:r>
            <w:proofErr w:type="spellEnd"/>
          </w:p>
        </w:tc>
        <w:tc>
          <w:tcPr>
            <w:tcW w:w="1560" w:type="dxa"/>
            <w:tcBorders>
              <w:top w:val="single" w:sz="4" w:space="0" w:color="000000"/>
              <w:left w:val="single" w:sz="4" w:space="0" w:color="000000"/>
              <w:bottom w:val="single" w:sz="4" w:space="0" w:color="000000"/>
              <w:right w:val="single" w:sz="4" w:space="0" w:color="000000"/>
            </w:tcBorders>
          </w:tcPr>
          <w:p w14:paraId="2D74E5ED" w14:textId="77777777" w:rsidR="0078185C" w:rsidRDefault="00000000">
            <w:pPr>
              <w:jc w:val="both"/>
            </w:pPr>
            <w:r>
              <w:t>(</w:t>
            </w:r>
            <w:r>
              <w:rPr>
                <w:rFonts w:ascii="Symbol" w:eastAsia="Symbol" w:hAnsi="Symbol" w:cs="Symbol"/>
                <w:bCs/>
              </w:rPr>
              <w:t></w:t>
            </w:r>
            <w:r>
              <w:rPr>
                <w:bCs/>
              </w:rPr>
              <w:t>C)</w:t>
            </w:r>
          </w:p>
        </w:tc>
        <w:tc>
          <w:tcPr>
            <w:tcW w:w="6157" w:type="dxa"/>
            <w:tcBorders>
              <w:top w:val="single" w:sz="4" w:space="0" w:color="000000"/>
              <w:left w:val="single" w:sz="4" w:space="0" w:color="000000"/>
              <w:bottom w:val="single" w:sz="4" w:space="0" w:color="000000"/>
              <w:right w:val="single" w:sz="4" w:space="0" w:color="000000"/>
            </w:tcBorders>
          </w:tcPr>
          <w:p w14:paraId="28435B39" w14:textId="655B0E2F" w:rsidR="0078185C" w:rsidRDefault="00000000">
            <w:pPr>
              <w:jc w:val="both"/>
            </w:pPr>
            <w:r>
              <w:t xml:space="preserve">The daily minimum temperature at which </w:t>
            </w:r>
            <w:r>
              <w:rPr>
                <w:rFonts w:ascii="Symbol" w:eastAsia="Symbol" w:hAnsi="Symbol" w:cs="Symbol"/>
              </w:rPr>
              <w:t></w:t>
            </w:r>
            <w:r>
              <w:t xml:space="preserve"> = 0.0</w:t>
            </w:r>
            <w:r w:rsidR="00A230C0">
              <w:t xml:space="preserve"> (at any VPD)</w:t>
            </w:r>
          </w:p>
        </w:tc>
      </w:tr>
      <w:tr w:rsidR="0078185C" w14:paraId="3515A723" w14:textId="77777777" w:rsidTr="00977C54">
        <w:tc>
          <w:tcPr>
            <w:tcW w:w="1548" w:type="dxa"/>
            <w:tcBorders>
              <w:top w:val="single" w:sz="4" w:space="0" w:color="000000"/>
              <w:left w:val="single" w:sz="4" w:space="0" w:color="000000"/>
              <w:bottom w:val="single" w:sz="4" w:space="0" w:color="000000"/>
              <w:right w:val="single" w:sz="4" w:space="0" w:color="000000"/>
            </w:tcBorders>
          </w:tcPr>
          <w:p w14:paraId="673C2482" w14:textId="77777777" w:rsidR="0078185C" w:rsidRDefault="00000000">
            <w:pPr>
              <w:jc w:val="both"/>
            </w:pPr>
            <w:proofErr w:type="spellStart"/>
            <w:r>
              <w:t>VPDmax</w:t>
            </w:r>
            <w:proofErr w:type="spellEnd"/>
          </w:p>
        </w:tc>
        <w:tc>
          <w:tcPr>
            <w:tcW w:w="1560" w:type="dxa"/>
            <w:tcBorders>
              <w:top w:val="single" w:sz="4" w:space="0" w:color="000000"/>
              <w:left w:val="single" w:sz="4" w:space="0" w:color="000000"/>
              <w:bottom w:val="single" w:sz="4" w:space="0" w:color="000000"/>
              <w:right w:val="single" w:sz="4" w:space="0" w:color="000000"/>
            </w:tcBorders>
          </w:tcPr>
          <w:p w14:paraId="4D237477" w14:textId="77777777" w:rsidR="0078185C" w:rsidRDefault="00000000">
            <w:pPr>
              <w:jc w:val="both"/>
            </w:pPr>
            <w:r>
              <w:t>(Pa)</w:t>
            </w:r>
          </w:p>
        </w:tc>
        <w:tc>
          <w:tcPr>
            <w:tcW w:w="6157" w:type="dxa"/>
            <w:tcBorders>
              <w:top w:val="single" w:sz="4" w:space="0" w:color="000000"/>
              <w:left w:val="single" w:sz="4" w:space="0" w:color="000000"/>
              <w:bottom w:val="single" w:sz="4" w:space="0" w:color="000000"/>
              <w:right w:val="single" w:sz="4" w:space="0" w:color="000000"/>
            </w:tcBorders>
          </w:tcPr>
          <w:p w14:paraId="33B9C67B" w14:textId="77777777" w:rsidR="0078185C" w:rsidRDefault="00000000">
            <w:pPr>
              <w:jc w:val="both"/>
            </w:pPr>
            <w:r>
              <w:t xml:space="preserve">The daylight average vapor pressure deficit at which </w:t>
            </w:r>
          </w:p>
          <w:p w14:paraId="7BF6EB38" w14:textId="77777777" w:rsidR="0078185C" w:rsidRDefault="00000000">
            <w:pPr>
              <w:jc w:val="both"/>
            </w:pPr>
            <w:r>
              <w:rPr>
                <w:rFonts w:ascii="Symbol" w:eastAsia="Symbol" w:hAnsi="Symbol" w:cs="Symbol"/>
              </w:rPr>
              <w:t></w:t>
            </w:r>
            <w:r>
              <w:t xml:space="preserve"> = </w:t>
            </w:r>
            <w:r>
              <w:rPr>
                <w:rFonts w:ascii="Symbol" w:eastAsia="Symbol" w:hAnsi="Symbol" w:cs="Symbol"/>
              </w:rPr>
              <w:t></w:t>
            </w:r>
            <w:r>
              <w:rPr>
                <w:vertAlign w:val="subscript"/>
              </w:rPr>
              <w:t>max</w:t>
            </w:r>
            <w:r>
              <w:t xml:space="preserve"> (for optimal TMIN)</w:t>
            </w:r>
          </w:p>
        </w:tc>
      </w:tr>
      <w:tr w:rsidR="0078185C" w14:paraId="3E4FA02B" w14:textId="77777777" w:rsidTr="00977C54">
        <w:tc>
          <w:tcPr>
            <w:tcW w:w="1548" w:type="dxa"/>
            <w:tcBorders>
              <w:top w:val="single" w:sz="4" w:space="0" w:color="000000"/>
              <w:left w:val="single" w:sz="4" w:space="0" w:color="000000"/>
              <w:bottom w:val="single" w:sz="4" w:space="0" w:color="000000"/>
              <w:right w:val="single" w:sz="4" w:space="0" w:color="000000"/>
            </w:tcBorders>
          </w:tcPr>
          <w:p w14:paraId="46ABDA7F" w14:textId="77777777" w:rsidR="0078185C" w:rsidRDefault="00000000">
            <w:pPr>
              <w:jc w:val="both"/>
            </w:pPr>
            <w:proofErr w:type="spellStart"/>
            <w:r>
              <w:t>VPDmin</w:t>
            </w:r>
            <w:proofErr w:type="spellEnd"/>
          </w:p>
        </w:tc>
        <w:tc>
          <w:tcPr>
            <w:tcW w:w="1560" w:type="dxa"/>
            <w:tcBorders>
              <w:top w:val="single" w:sz="4" w:space="0" w:color="000000"/>
              <w:left w:val="single" w:sz="4" w:space="0" w:color="000000"/>
              <w:bottom w:val="single" w:sz="4" w:space="0" w:color="000000"/>
              <w:right w:val="single" w:sz="4" w:space="0" w:color="000000"/>
            </w:tcBorders>
          </w:tcPr>
          <w:p w14:paraId="699E05F2" w14:textId="77777777" w:rsidR="0078185C" w:rsidRDefault="00000000">
            <w:pPr>
              <w:jc w:val="both"/>
            </w:pPr>
            <w:r>
              <w:t>(Pa)</w:t>
            </w:r>
          </w:p>
        </w:tc>
        <w:tc>
          <w:tcPr>
            <w:tcW w:w="6157" w:type="dxa"/>
            <w:tcBorders>
              <w:top w:val="single" w:sz="4" w:space="0" w:color="000000"/>
              <w:left w:val="single" w:sz="4" w:space="0" w:color="000000"/>
              <w:bottom w:val="single" w:sz="4" w:space="0" w:color="000000"/>
              <w:right w:val="single" w:sz="4" w:space="0" w:color="000000"/>
            </w:tcBorders>
          </w:tcPr>
          <w:p w14:paraId="71E6BC57" w14:textId="77777777" w:rsidR="0078185C" w:rsidRDefault="00000000">
            <w:pPr>
              <w:jc w:val="both"/>
            </w:pPr>
            <w:r>
              <w:t xml:space="preserve">The daylight average vapor pressure deficit at which </w:t>
            </w:r>
          </w:p>
          <w:p w14:paraId="5302B8EB" w14:textId="77777777" w:rsidR="0078185C" w:rsidRDefault="00000000">
            <w:pPr>
              <w:jc w:val="both"/>
            </w:pPr>
            <w:r>
              <w:rPr>
                <w:rFonts w:ascii="Symbol" w:eastAsia="Symbol" w:hAnsi="Symbol" w:cs="Symbol"/>
              </w:rPr>
              <w:t></w:t>
            </w:r>
            <w:r>
              <w:t xml:space="preserve"> = 0.0 (at any TMIN)</w:t>
            </w:r>
          </w:p>
        </w:tc>
      </w:tr>
    </w:tbl>
    <w:p w14:paraId="41FCB503" w14:textId="77777777" w:rsidR="00207FA1" w:rsidRDefault="00207FA1">
      <w:pPr>
        <w:jc w:val="both"/>
        <w:rPr>
          <w:b/>
          <w:bCs/>
          <w:szCs w:val="12"/>
        </w:rPr>
      </w:pPr>
    </w:p>
    <w:p w14:paraId="2F34FFDF" w14:textId="77777777" w:rsidR="00BE1053" w:rsidRDefault="00BE1053" w:rsidP="00BE1053">
      <w:pPr>
        <w:ind w:firstLine="720"/>
        <w:jc w:val="both"/>
      </w:pPr>
      <w:r>
        <w:t xml:space="preserve">For any given pixel within the global set of 500-m land pixels, estimates of both GPP and NPP are calculated. The calculations, summarized in Figure 1.2, are a series of steps and some (e.g., GPP) are calculated daily while others (e.g., NPP) are calculated annually. Calculations of daily photosynthesis (GPP) are shown in the upper flowchart of Figure 1.2. An 8-day estimate of </w:t>
      </w:r>
      <w:r>
        <w:lastRenderedPageBreak/>
        <w:t>FPAR from VNP15 (or VJ115 for VJ117) and daily estimated PAR from GMAO/NASA are multiplied to produce daily APAR for the pixel. Based on the MODIS landcover product still used</w:t>
      </w:r>
    </w:p>
    <w:p w14:paraId="1F48E588" w14:textId="77777777" w:rsidR="00BE1053" w:rsidRDefault="00BE1053" w:rsidP="00BE1053">
      <w:pPr>
        <w:jc w:val="both"/>
      </w:pPr>
      <w:r>
        <w:t>in VIIRS processing, a set of biome-specific radiation-use efficiency parameters are extracted from the BPLUT for each pixel. There are five parameters used to calculate GPP, as shown in Table 1.1. The actual biome-specific values associated with these parameters will be discussed in Section 3, and the entire BPLUT is shown in Table 2.1.</w:t>
      </w:r>
    </w:p>
    <w:p w14:paraId="2F10B679" w14:textId="77777777" w:rsidR="00BE1053" w:rsidRDefault="00BE1053">
      <w:pPr>
        <w:jc w:val="both"/>
        <w:rPr>
          <w:b/>
          <w:bCs/>
          <w:szCs w:val="12"/>
        </w:rPr>
      </w:pPr>
    </w:p>
    <w:p w14:paraId="34CE0A41" w14:textId="5FB7F3CC" w:rsidR="0078185C" w:rsidRDefault="00A230C0">
      <w:pPr>
        <w:jc w:val="both"/>
        <w:rPr>
          <w:b/>
          <w:bCs/>
          <w:szCs w:val="12"/>
        </w:rPr>
      </w:pPr>
      <w:r>
        <w:rPr>
          <w:b/>
          <w:bCs/>
          <w:noProof/>
          <w:szCs w:val="12"/>
        </w:rPr>
        <w:drawing>
          <wp:anchor distT="0" distB="0" distL="0" distR="0" simplePos="0" relativeHeight="17" behindDoc="1" locked="0" layoutInCell="1" allowOverlap="1" wp14:anchorId="230C6316" wp14:editId="1A7ED0B1">
            <wp:simplePos x="0" y="0"/>
            <wp:positionH relativeFrom="column">
              <wp:posOffset>522514</wp:posOffset>
            </wp:positionH>
            <wp:positionV relativeFrom="paragraph">
              <wp:posOffset>163285</wp:posOffset>
            </wp:positionV>
            <wp:extent cx="4747308" cy="3249385"/>
            <wp:effectExtent l="0" t="0" r="2540" b="1905"/>
            <wp:wrapNone/>
            <wp:docPr id="7" name="Picture 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426"/>
                    <pic:cNvPicPr>
                      <a:picLocks noChangeAspect="1" noChangeArrowheads="1"/>
                    </pic:cNvPicPr>
                  </pic:nvPicPr>
                  <pic:blipFill>
                    <a:blip r:embed="rId12"/>
                    <a:stretch>
                      <a:fillRect/>
                    </a:stretch>
                  </pic:blipFill>
                  <pic:spPr bwMode="auto">
                    <a:xfrm>
                      <a:off x="0" y="0"/>
                      <a:ext cx="4749723" cy="3251038"/>
                    </a:xfrm>
                    <a:prstGeom prst="rect">
                      <a:avLst/>
                    </a:prstGeom>
                  </pic:spPr>
                </pic:pic>
              </a:graphicData>
            </a:graphic>
            <wp14:sizeRelH relativeFrom="margin">
              <wp14:pctWidth>0</wp14:pctWidth>
            </wp14:sizeRelH>
            <wp14:sizeRelV relativeFrom="margin">
              <wp14:pctHeight>0</wp14:pctHeight>
            </wp14:sizeRelV>
          </wp:anchor>
        </w:drawing>
      </w:r>
    </w:p>
    <w:p w14:paraId="62EBF3C5" w14:textId="77777777" w:rsidR="0078185C" w:rsidRDefault="0078185C">
      <w:pPr>
        <w:jc w:val="both"/>
        <w:rPr>
          <w:b/>
          <w:bCs/>
          <w:szCs w:val="12"/>
        </w:rPr>
      </w:pPr>
    </w:p>
    <w:p w14:paraId="75340911" w14:textId="50B5FF2B" w:rsidR="0078185C" w:rsidRDefault="0078185C">
      <w:pPr>
        <w:jc w:val="both"/>
        <w:rPr>
          <w:b/>
          <w:bCs/>
          <w:szCs w:val="12"/>
        </w:rPr>
      </w:pPr>
    </w:p>
    <w:p w14:paraId="6D98A12B" w14:textId="77777777" w:rsidR="0078185C" w:rsidRDefault="0078185C">
      <w:pPr>
        <w:jc w:val="both"/>
        <w:rPr>
          <w:b/>
          <w:bCs/>
          <w:szCs w:val="12"/>
        </w:rPr>
      </w:pPr>
    </w:p>
    <w:p w14:paraId="2946DB82" w14:textId="77777777" w:rsidR="0078185C" w:rsidRDefault="0078185C">
      <w:pPr>
        <w:jc w:val="both"/>
        <w:rPr>
          <w:b/>
          <w:bCs/>
          <w:szCs w:val="12"/>
        </w:rPr>
      </w:pPr>
    </w:p>
    <w:p w14:paraId="5997CC1D" w14:textId="77777777" w:rsidR="0078185C" w:rsidRDefault="0078185C">
      <w:pPr>
        <w:jc w:val="both"/>
        <w:rPr>
          <w:b/>
          <w:bCs/>
          <w:szCs w:val="12"/>
        </w:rPr>
      </w:pPr>
    </w:p>
    <w:p w14:paraId="110FFD37" w14:textId="77777777" w:rsidR="0078185C" w:rsidRDefault="0078185C">
      <w:pPr>
        <w:jc w:val="both"/>
        <w:rPr>
          <w:b/>
          <w:bCs/>
          <w:szCs w:val="12"/>
        </w:rPr>
      </w:pPr>
    </w:p>
    <w:p w14:paraId="6B699379" w14:textId="77777777" w:rsidR="0078185C" w:rsidRDefault="0078185C">
      <w:pPr>
        <w:jc w:val="both"/>
        <w:rPr>
          <w:b/>
          <w:bCs/>
          <w:szCs w:val="12"/>
        </w:rPr>
      </w:pPr>
    </w:p>
    <w:p w14:paraId="3FE9F23F" w14:textId="77777777" w:rsidR="0078185C" w:rsidRDefault="0078185C">
      <w:pPr>
        <w:jc w:val="both"/>
        <w:rPr>
          <w:b/>
          <w:bCs/>
          <w:szCs w:val="12"/>
        </w:rPr>
      </w:pPr>
    </w:p>
    <w:p w14:paraId="1F72F646" w14:textId="77777777" w:rsidR="0078185C" w:rsidRDefault="0078185C">
      <w:pPr>
        <w:jc w:val="both"/>
        <w:rPr>
          <w:b/>
          <w:bCs/>
          <w:szCs w:val="12"/>
        </w:rPr>
      </w:pPr>
    </w:p>
    <w:p w14:paraId="08CE6F91" w14:textId="77777777" w:rsidR="0078185C" w:rsidRDefault="0078185C">
      <w:pPr>
        <w:jc w:val="both"/>
        <w:rPr>
          <w:b/>
          <w:bCs/>
          <w:szCs w:val="12"/>
        </w:rPr>
      </w:pPr>
    </w:p>
    <w:p w14:paraId="61CDCEAD" w14:textId="77777777" w:rsidR="0078185C" w:rsidRDefault="0078185C">
      <w:pPr>
        <w:jc w:val="both"/>
        <w:rPr>
          <w:b/>
          <w:bCs/>
          <w:szCs w:val="12"/>
        </w:rPr>
      </w:pPr>
    </w:p>
    <w:p w14:paraId="6BB9E253" w14:textId="77777777" w:rsidR="0078185C" w:rsidRDefault="0078185C">
      <w:pPr>
        <w:jc w:val="both"/>
        <w:rPr>
          <w:b/>
          <w:bCs/>
          <w:szCs w:val="12"/>
        </w:rPr>
      </w:pPr>
    </w:p>
    <w:p w14:paraId="23DE523C" w14:textId="77777777" w:rsidR="0078185C" w:rsidRDefault="0078185C">
      <w:pPr>
        <w:jc w:val="both"/>
        <w:rPr>
          <w:b/>
          <w:bCs/>
          <w:szCs w:val="12"/>
        </w:rPr>
      </w:pPr>
    </w:p>
    <w:p w14:paraId="52E56223" w14:textId="77777777" w:rsidR="0078185C" w:rsidRDefault="0078185C">
      <w:pPr>
        <w:jc w:val="both"/>
        <w:rPr>
          <w:b/>
          <w:bCs/>
          <w:szCs w:val="12"/>
        </w:rPr>
      </w:pPr>
    </w:p>
    <w:p w14:paraId="07547A01" w14:textId="77777777" w:rsidR="0078185C" w:rsidRDefault="0078185C">
      <w:pPr>
        <w:jc w:val="both"/>
        <w:rPr>
          <w:b/>
          <w:bCs/>
          <w:szCs w:val="12"/>
        </w:rPr>
      </w:pPr>
    </w:p>
    <w:p w14:paraId="4D92A4AD" w14:textId="77777777" w:rsidR="00A230C0" w:rsidRDefault="00A230C0">
      <w:pPr>
        <w:jc w:val="both"/>
        <w:rPr>
          <w:b/>
          <w:bCs/>
          <w:szCs w:val="12"/>
        </w:rPr>
      </w:pPr>
    </w:p>
    <w:p w14:paraId="1D5AC59C" w14:textId="77777777" w:rsidR="00775511" w:rsidRDefault="00775511">
      <w:pPr>
        <w:jc w:val="both"/>
        <w:rPr>
          <w:b/>
          <w:bCs/>
          <w:szCs w:val="12"/>
        </w:rPr>
      </w:pPr>
    </w:p>
    <w:p w14:paraId="54E52B4F" w14:textId="76BB590D" w:rsidR="00207FA1" w:rsidRDefault="00000000" w:rsidP="00207FA1">
      <w:pPr>
        <w:jc w:val="both"/>
        <w:rPr>
          <w:i/>
          <w:szCs w:val="12"/>
        </w:rPr>
      </w:pPr>
      <w:r>
        <w:rPr>
          <w:b/>
          <w:bCs/>
          <w:i/>
          <w:noProof/>
          <w:szCs w:val="12"/>
        </w:rPr>
        <mc:AlternateContent>
          <mc:Choice Requires="wps">
            <w:drawing>
              <wp:anchor distT="0" distB="0" distL="114300" distR="114300" simplePos="0" relativeHeight="3" behindDoc="0" locked="0" layoutInCell="1" allowOverlap="1" wp14:anchorId="57438854" wp14:editId="07777777">
                <wp:simplePos x="0" y="0"/>
                <wp:positionH relativeFrom="column">
                  <wp:posOffset>79375</wp:posOffset>
                </wp:positionH>
                <wp:positionV relativeFrom="paragraph">
                  <wp:posOffset>262255</wp:posOffset>
                </wp:positionV>
                <wp:extent cx="5715" cy="154940"/>
                <wp:effectExtent l="3175" t="0" r="5080" b="3175"/>
                <wp:wrapTopAndBottom/>
                <wp:docPr id="8" name="Rectangle 2553"/>
                <wp:cNvGraphicFramePr/>
                <a:graphic xmlns:a="http://schemas.openxmlformats.org/drawingml/2006/main">
                  <a:graphicData uri="http://schemas.microsoft.com/office/word/2010/wordprocessingShape">
                    <wps:wsp>
                      <wps:cNvSpPr/>
                      <wps:spPr>
                        <a:xfrm>
                          <a:off x="0" y="0"/>
                          <a:ext cx="5040" cy="154440"/>
                        </a:xfrm>
                        <a:prstGeom prst="rect">
                          <a:avLst/>
                        </a:prstGeom>
                        <a:solidFill>
                          <a:srgbClr val="FFFFFF"/>
                        </a:solidFill>
                        <a:ln>
                          <a:noFill/>
                        </a:ln>
                      </wps:spPr>
                      <wps:style>
                        <a:lnRef idx="0">
                          <a:scrgbClr r="0" g="0" b="0"/>
                        </a:lnRef>
                        <a:fillRef idx="0">
                          <a:scrgbClr r="0" g="0" b="0"/>
                        </a:fillRef>
                        <a:effectRef idx="0">
                          <a:scrgbClr r="0" g="0" b="0"/>
                        </a:effectRef>
                        <a:fontRef idx="minor"/>
                      </wps:style>
                      <wps:bodyPr/>
                    </wps:wsp>
                  </a:graphicData>
                </a:graphic>
              </wp:anchor>
            </w:drawing>
          </mc:Choice>
          <mc:Fallback xmlns:wp14="http://schemas.microsoft.com/office/word/2010/wordml" xmlns:pic="http://schemas.openxmlformats.org/drawingml/2006/picture" xmlns:a="http://schemas.openxmlformats.org/drawingml/2006/main">
            <w:pict w14:anchorId="50A5794F">
              <v:rect xmlns:wp14="http://schemas.microsoft.com/office/word/2010/wordprocessingDrawing" id="shape_0" style="position:absolute;margin-left:6.25pt;margin-top:20.65pt;width:0.35pt;height:12.1pt" fillcolor="white" stroked="f" ID="Rectangle 2553" wp14:anchorId="57438854">
                <w10:wrap type="none"/>
                <v:fill type="solid" color2="black" o:detectmouseclick="t"/>
                <v:stroke color="#3465a4" joinstyle="round" endcap="flat"/>
              </v:rect>
            </w:pict>
          </mc:Fallback>
        </mc:AlternateContent>
      </w:r>
      <w:r>
        <w:rPr>
          <w:b/>
          <w:bCs/>
          <w:i/>
          <w:noProof/>
          <w:szCs w:val="12"/>
        </w:rPr>
        <mc:AlternateContent>
          <mc:Choice Requires="wps">
            <w:drawing>
              <wp:anchor distT="0" distB="0" distL="114300" distR="114300" simplePos="0" relativeHeight="4" behindDoc="0" locked="0" layoutInCell="1" allowOverlap="1" wp14:anchorId="348B3A1F" wp14:editId="07777777">
                <wp:simplePos x="0" y="0"/>
                <wp:positionH relativeFrom="column">
                  <wp:posOffset>79375</wp:posOffset>
                </wp:positionH>
                <wp:positionV relativeFrom="paragraph">
                  <wp:posOffset>40640</wp:posOffset>
                </wp:positionV>
                <wp:extent cx="5715" cy="154940"/>
                <wp:effectExtent l="3175" t="2540" r="5080" b="0"/>
                <wp:wrapTopAndBottom/>
                <wp:docPr id="9" name="Rectangle 2616"/>
                <wp:cNvGraphicFramePr/>
                <a:graphic xmlns:a="http://schemas.openxmlformats.org/drawingml/2006/main">
                  <a:graphicData uri="http://schemas.microsoft.com/office/word/2010/wordprocessingShape">
                    <wps:wsp>
                      <wps:cNvSpPr/>
                      <wps:spPr>
                        <a:xfrm>
                          <a:off x="0" y="0"/>
                          <a:ext cx="5040" cy="154440"/>
                        </a:xfrm>
                        <a:prstGeom prst="rect">
                          <a:avLst/>
                        </a:prstGeom>
                        <a:solidFill>
                          <a:srgbClr val="FFFFFF"/>
                        </a:solidFill>
                        <a:ln>
                          <a:noFill/>
                        </a:ln>
                      </wps:spPr>
                      <wps:style>
                        <a:lnRef idx="0">
                          <a:scrgbClr r="0" g="0" b="0"/>
                        </a:lnRef>
                        <a:fillRef idx="0">
                          <a:scrgbClr r="0" g="0" b="0"/>
                        </a:fillRef>
                        <a:effectRef idx="0">
                          <a:scrgbClr r="0" g="0" b="0"/>
                        </a:effectRef>
                        <a:fontRef idx="minor"/>
                      </wps:style>
                      <wps:bodyPr/>
                    </wps:wsp>
                  </a:graphicData>
                </a:graphic>
              </wp:anchor>
            </w:drawing>
          </mc:Choice>
          <mc:Fallback xmlns:wp14="http://schemas.microsoft.com/office/word/2010/wordml" xmlns:pic="http://schemas.openxmlformats.org/drawingml/2006/picture" xmlns:a="http://schemas.openxmlformats.org/drawingml/2006/main">
            <w:pict w14:anchorId="55A520DF">
              <v:rect xmlns:wp14="http://schemas.microsoft.com/office/word/2010/wordprocessingDrawing" id="shape_0" style="position:absolute;margin-left:6.25pt;margin-top:3.2pt;width:0.35pt;height:12.1pt" fillcolor="white" stroked="f" ID="Rectangle 2616" wp14:anchorId="348B3A1F">
                <w10:wrap type="none"/>
                <v:fill type="solid" color2="black" o:detectmouseclick="t"/>
                <v:stroke color="#3465a4" joinstyle="round" endcap="flat"/>
              </v:rect>
            </w:pict>
          </mc:Fallback>
        </mc:AlternateContent>
      </w:r>
      <w:r>
        <w:rPr>
          <w:b/>
          <w:bCs/>
          <w:i/>
          <w:noProof/>
          <w:szCs w:val="12"/>
        </w:rPr>
        <mc:AlternateContent>
          <mc:Choice Requires="wps">
            <w:drawing>
              <wp:anchor distT="0" distB="0" distL="114300" distR="114300" simplePos="0" relativeHeight="5" behindDoc="0" locked="0" layoutInCell="1" allowOverlap="1" wp14:anchorId="54D7E40B" wp14:editId="07777777">
                <wp:simplePos x="0" y="0"/>
                <wp:positionH relativeFrom="column">
                  <wp:posOffset>-150495</wp:posOffset>
                </wp:positionH>
                <wp:positionV relativeFrom="paragraph">
                  <wp:posOffset>1051560</wp:posOffset>
                </wp:positionV>
                <wp:extent cx="5715" cy="218440"/>
                <wp:effectExtent l="1905" t="0" r="6350" b="1270"/>
                <wp:wrapTopAndBottom/>
                <wp:docPr id="10" name="Rectangle 2664"/>
                <wp:cNvGraphicFramePr/>
                <a:graphic xmlns:a="http://schemas.openxmlformats.org/drawingml/2006/main">
                  <a:graphicData uri="http://schemas.microsoft.com/office/word/2010/wordprocessingShape">
                    <wps:wsp>
                      <wps:cNvSpPr/>
                      <wps:spPr>
                        <a:xfrm>
                          <a:off x="0" y="0"/>
                          <a:ext cx="5040" cy="217800"/>
                        </a:xfrm>
                        <a:prstGeom prst="rect">
                          <a:avLst/>
                        </a:prstGeom>
                        <a:solidFill>
                          <a:srgbClr val="FFFFFF"/>
                        </a:solidFill>
                        <a:ln>
                          <a:noFill/>
                        </a:ln>
                      </wps:spPr>
                      <wps:style>
                        <a:lnRef idx="0">
                          <a:scrgbClr r="0" g="0" b="0"/>
                        </a:lnRef>
                        <a:fillRef idx="0">
                          <a:scrgbClr r="0" g="0" b="0"/>
                        </a:fillRef>
                        <a:effectRef idx="0">
                          <a:scrgbClr r="0" g="0" b="0"/>
                        </a:effectRef>
                        <a:fontRef idx="minor"/>
                      </wps:style>
                      <wps:bodyPr/>
                    </wps:wsp>
                  </a:graphicData>
                </a:graphic>
              </wp:anchor>
            </w:drawing>
          </mc:Choice>
          <mc:Fallback xmlns:wp14="http://schemas.microsoft.com/office/word/2010/wordml" xmlns:pic="http://schemas.openxmlformats.org/drawingml/2006/picture" xmlns:a="http://schemas.openxmlformats.org/drawingml/2006/main">
            <w:pict w14:anchorId="74498B1A">
              <v:rect xmlns:wp14="http://schemas.microsoft.com/office/word/2010/wordprocessingDrawing" id="shape_0" style="position:absolute;margin-left:-11.85pt;margin-top:82.8pt;width:0.35pt;height:17.1pt" fillcolor="white" stroked="f" ID="Rectangle 2664" wp14:anchorId="54D7E40B">
                <w10:wrap type="none"/>
                <v:fill type="solid" color2="black" o:detectmouseclick="t"/>
                <v:stroke color="#3465a4" joinstyle="round" endcap="flat"/>
              </v:rect>
            </w:pict>
          </mc:Fallback>
        </mc:AlternateContent>
      </w:r>
      <w:r>
        <w:rPr>
          <w:b/>
          <w:bCs/>
          <w:i/>
          <w:noProof/>
          <w:szCs w:val="12"/>
        </w:rPr>
        <mc:AlternateContent>
          <mc:Choice Requires="wps">
            <w:drawing>
              <wp:anchor distT="0" distB="0" distL="114300" distR="114300" simplePos="0" relativeHeight="6" behindDoc="0" locked="0" layoutInCell="1" allowOverlap="1" wp14:anchorId="76713445" wp14:editId="07777777">
                <wp:simplePos x="0" y="0"/>
                <wp:positionH relativeFrom="column">
                  <wp:posOffset>819785</wp:posOffset>
                </wp:positionH>
                <wp:positionV relativeFrom="paragraph">
                  <wp:posOffset>1051560</wp:posOffset>
                </wp:positionV>
                <wp:extent cx="5715" cy="218440"/>
                <wp:effectExtent l="0" t="0" r="1270" b="1270"/>
                <wp:wrapTopAndBottom/>
                <wp:docPr id="11" name="Rectangle 2703"/>
                <wp:cNvGraphicFramePr/>
                <a:graphic xmlns:a="http://schemas.openxmlformats.org/drawingml/2006/main">
                  <a:graphicData uri="http://schemas.microsoft.com/office/word/2010/wordprocessingShape">
                    <wps:wsp>
                      <wps:cNvSpPr/>
                      <wps:spPr>
                        <a:xfrm>
                          <a:off x="0" y="0"/>
                          <a:ext cx="5040" cy="217800"/>
                        </a:xfrm>
                        <a:prstGeom prst="rect">
                          <a:avLst/>
                        </a:prstGeom>
                        <a:solidFill>
                          <a:srgbClr val="FFFFFF"/>
                        </a:solidFill>
                        <a:ln>
                          <a:noFill/>
                        </a:ln>
                      </wps:spPr>
                      <wps:style>
                        <a:lnRef idx="0">
                          <a:scrgbClr r="0" g="0" b="0"/>
                        </a:lnRef>
                        <a:fillRef idx="0">
                          <a:scrgbClr r="0" g="0" b="0"/>
                        </a:fillRef>
                        <a:effectRef idx="0">
                          <a:scrgbClr r="0" g="0" b="0"/>
                        </a:effectRef>
                        <a:fontRef idx="minor"/>
                      </wps:style>
                      <wps:bodyPr/>
                    </wps:wsp>
                  </a:graphicData>
                </a:graphic>
              </wp:anchor>
            </w:drawing>
          </mc:Choice>
          <mc:Fallback xmlns:wp14="http://schemas.microsoft.com/office/word/2010/wordml" xmlns:pic="http://schemas.openxmlformats.org/drawingml/2006/picture" xmlns:a="http://schemas.openxmlformats.org/drawingml/2006/main">
            <w:pict w14:anchorId="16A45E23">
              <v:rect xmlns:wp14="http://schemas.microsoft.com/office/word/2010/wordprocessingDrawing" id="shape_0" style="position:absolute;margin-left:64.55pt;margin-top:82.8pt;width:0.35pt;height:17.1pt" fillcolor="white" stroked="f" ID="Rectangle 2703" wp14:anchorId="76713445">
                <w10:wrap type="none"/>
                <v:fill type="solid" color2="black" o:detectmouseclick="t"/>
                <v:stroke color="#3465a4" joinstyle="round" endcap="flat"/>
              </v:rect>
            </w:pict>
          </mc:Fallback>
        </mc:AlternateContent>
      </w:r>
      <w:r>
        <w:rPr>
          <w:b/>
          <w:bCs/>
          <w:i/>
          <w:noProof/>
          <w:szCs w:val="12"/>
        </w:rPr>
        <w:drawing>
          <wp:anchor distT="0" distB="0" distL="114300" distR="114300" simplePos="0" relativeHeight="7" behindDoc="0" locked="0" layoutInCell="1" allowOverlap="1" wp14:anchorId="168FF16D" wp14:editId="07777777">
            <wp:simplePos x="0" y="0"/>
            <wp:positionH relativeFrom="column">
              <wp:posOffset>-209550</wp:posOffset>
            </wp:positionH>
            <wp:positionV relativeFrom="paragraph">
              <wp:posOffset>4419600</wp:posOffset>
            </wp:positionV>
            <wp:extent cx="3687445" cy="14605"/>
            <wp:effectExtent l="0" t="0" r="0" b="0"/>
            <wp:wrapTopAndBottom/>
            <wp:docPr id="12"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710"/>
                    <pic:cNvPicPr>
                      <a:picLocks noChangeAspect="1" noChangeArrowheads="1"/>
                    </pic:cNvPicPr>
                  </pic:nvPicPr>
                  <pic:blipFill>
                    <a:blip r:embed="rId13"/>
                    <a:stretch>
                      <a:fillRect/>
                    </a:stretch>
                  </pic:blipFill>
                  <pic:spPr bwMode="auto">
                    <a:xfrm>
                      <a:off x="0" y="0"/>
                      <a:ext cx="3687445" cy="14605"/>
                    </a:xfrm>
                    <a:prstGeom prst="rect">
                      <a:avLst/>
                    </a:prstGeom>
                  </pic:spPr>
                </pic:pic>
              </a:graphicData>
            </a:graphic>
          </wp:anchor>
        </w:drawing>
      </w:r>
      <w:r>
        <w:rPr>
          <w:b/>
          <w:bCs/>
          <w:i/>
          <w:szCs w:val="12"/>
        </w:rPr>
        <w:t>Figure 1.</w:t>
      </w:r>
      <w:r w:rsidR="00761723">
        <w:rPr>
          <w:b/>
          <w:bCs/>
          <w:i/>
          <w:szCs w:val="12"/>
        </w:rPr>
        <w:t>2</w:t>
      </w:r>
      <w:r>
        <w:rPr>
          <w:b/>
          <w:bCs/>
          <w:i/>
          <w:szCs w:val="12"/>
        </w:rPr>
        <w:t>.</w:t>
      </w:r>
      <w:r>
        <w:rPr>
          <w:b/>
          <w:i/>
          <w:szCs w:val="12"/>
        </w:rPr>
        <w:t xml:space="preserve"> </w:t>
      </w:r>
      <w:r>
        <w:rPr>
          <w:i/>
          <w:szCs w:val="12"/>
        </w:rPr>
        <w:t>Flowcharts showing the logic behind the VNP17 Algorithm in calculating both</w:t>
      </w:r>
      <w:r>
        <w:rPr>
          <w:noProof/>
        </w:rPr>
        <w:drawing>
          <wp:anchor distT="0" distB="0" distL="0" distR="0" simplePos="0" relativeHeight="2" behindDoc="0" locked="0" layoutInCell="1" allowOverlap="1" wp14:anchorId="4B96C5A7" wp14:editId="07777777">
            <wp:simplePos x="0" y="0"/>
            <wp:positionH relativeFrom="column">
              <wp:posOffset>8890</wp:posOffset>
            </wp:positionH>
            <wp:positionV relativeFrom="paragraph">
              <wp:posOffset>7792085</wp:posOffset>
            </wp:positionV>
            <wp:extent cx="3626485" cy="14605"/>
            <wp:effectExtent l="0" t="0" r="0" b="0"/>
            <wp:wrapNone/>
            <wp:docPr id="13"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215"/>
                    <pic:cNvPicPr>
                      <a:picLocks noChangeAspect="1" noChangeArrowheads="1"/>
                    </pic:cNvPicPr>
                  </pic:nvPicPr>
                  <pic:blipFill>
                    <a:blip r:embed="rId14"/>
                    <a:stretch>
                      <a:fillRect/>
                    </a:stretch>
                  </pic:blipFill>
                  <pic:spPr bwMode="auto">
                    <a:xfrm>
                      <a:off x="0" y="0"/>
                      <a:ext cx="3626485" cy="14605"/>
                    </a:xfrm>
                    <a:prstGeom prst="rect">
                      <a:avLst/>
                    </a:prstGeom>
                  </pic:spPr>
                </pic:pic>
              </a:graphicData>
            </a:graphic>
          </wp:anchor>
        </w:drawing>
      </w:r>
      <w:r>
        <w:rPr>
          <w:i/>
          <w:szCs w:val="12"/>
        </w:rPr>
        <w:t xml:space="preserve">  8-day average GPP and annual NPP.</w:t>
      </w:r>
    </w:p>
    <w:p w14:paraId="1C5DB66E" w14:textId="77777777" w:rsidR="00BE1053" w:rsidRDefault="00BE1053" w:rsidP="00207FA1">
      <w:pPr>
        <w:ind w:firstLine="720"/>
        <w:jc w:val="both"/>
      </w:pPr>
    </w:p>
    <w:p w14:paraId="56588F33" w14:textId="4A9A4BE0" w:rsidR="0078185C" w:rsidRDefault="00000000" w:rsidP="00207FA1">
      <w:pPr>
        <w:ind w:firstLine="720"/>
        <w:jc w:val="both"/>
      </w:pPr>
      <w:r>
        <w:t xml:space="preserve">The two parameters for TMIN and the two parameters for VPD are used to calculate the scalars that attenuate </w:t>
      </w:r>
      <w:r>
        <w:rPr>
          <w:rFonts w:ascii="Symbol" w:eastAsia="Symbol" w:hAnsi="Symbol" w:cs="Symbol"/>
        </w:rPr>
        <w:t></w:t>
      </w:r>
      <w:r>
        <w:rPr>
          <w:vertAlign w:val="subscript"/>
        </w:rPr>
        <w:t>max</w:t>
      </w:r>
      <w:r>
        <w:t xml:space="preserve"> to produce the final </w:t>
      </w:r>
      <w:r>
        <w:rPr>
          <w:rFonts w:ascii="Symbol" w:eastAsia="Symbol" w:hAnsi="Symbol" w:cs="Symbol"/>
        </w:rPr>
        <w:t></w:t>
      </w:r>
      <w:r>
        <w:t xml:space="preserve"> (kg C MJ</w:t>
      </w:r>
      <w:r>
        <w:rPr>
          <w:vertAlign w:val="superscript"/>
        </w:rPr>
        <w:t>-1</w:t>
      </w:r>
      <w:r>
        <w:t>) used to predict GPP:</w:t>
      </w:r>
    </w:p>
    <w:p w14:paraId="3A0FF5F2" w14:textId="77777777" w:rsidR="0078185C" w:rsidRDefault="0078185C">
      <w:pPr>
        <w:jc w:val="both"/>
      </w:pPr>
    </w:p>
    <w:p w14:paraId="220F1D54" w14:textId="77777777" w:rsidR="0078185C" w:rsidRDefault="00000000">
      <w:pPr>
        <w:ind w:firstLine="720"/>
        <w:jc w:val="both"/>
        <w:rPr>
          <w:b/>
          <w:bCs/>
        </w:rPr>
      </w:pPr>
      <w:r>
        <w:rPr>
          <w:rFonts w:ascii="Symbol" w:eastAsia="Symbol" w:hAnsi="Symbol" w:cs="Symbol"/>
        </w:rPr>
        <w:t></w:t>
      </w:r>
      <w:r>
        <w:t xml:space="preserve"> = </w:t>
      </w:r>
      <w:r>
        <w:rPr>
          <w:rFonts w:ascii="Symbol" w:eastAsia="Symbol" w:hAnsi="Symbol" w:cs="Symbol"/>
        </w:rPr>
        <w:t></w:t>
      </w:r>
      <w:r>
        <w:rPr>
          <w:vertAlign w:val="subscript"/>
        </w:rPr>
        <w:t>max</w:t>
      </w:r>
      <w:r>
        <w:t xml:space="preserve"> * </w:t>
      </w:r>
      <w:proofErr w:type="spellStart"/>
      <w:r>
        <w:t>TMIN_scalar</w:t>
      </w:r>
      <w:proofErr w:type="spellEnd"/>
      <w:r>
        <w:t xml:space="preserve"> * </w:t>
      </w:r>
      <w:proofErr w:type="spellStart"/>
      <w:r>
        <w:t>VPD_scalar</w:t>
      </w:r>
      <w:proofErr w:type="spellEnd"/>
      <w:r>
        <w:t xml:space="preserve"> </w:t>
      </w:r>
      <w:r>
        <w:tab/>
      </w:r>
      <w:r>
        <w:tab/>
      </w:r>
      <w:r>
        <w:tab/>
      </w:r>
      <w:r>
        <w:tab/>
      </w:r>
      <w:r>
        <w:tab/>
      </w:r>
      <w:r>
        <w:tab/>
      </w:r>
      <w:r>
        <w:rPr>
          <w:b/>
          <w:bCs/>
        </w:rPr>
        <w:t>(1.1)</w:t>
      </w:r>
    </w:p>
    <w:p w14:paraId="5630AD66" w14:textId="77777777" w:rsidR="0078185C" w:rsidRDefault="0078185C">
      <w:pPr>
        <w:jc w:val="both"/>
      </w:pPr>
    </w:p>
    <w:p w14:paraId="61829076" w14:textId="2B4D3A4A" w:rsidR="0078185C" w:rsidRDefault="00000000" w:rsidP="006B3CF0">
      <w:pPr>
        <w:jc w:val="both"/>
      </w:pPr>
      <w:r>
        <w:t>The attenuation scalars are simple linear ramp functions of daily TMIN and VPD, as illustrated</w:t>
      </w:r>
      <w:r w:rsidR="007F0466">
        <w:t xml:space="preserve"> </w:t>
      </w:r>
      <w:r w:rsidR="6CEBCEED">
        <w:t>in Figure 1.</w:t>
      </w:r>
      <w:r w:rsidR="00761723">
        <w:t>3</w:t>
      </w:r>
      <w:r w:rsidR="6CEBCEED">
        <w:t xml:space="preserve">. Values of TMIN and VPD are obtained from the NASA GMAO meteorological dataset, while the value of </w:t>
      </w:r>
      <w:r w:rsidR="6CEBCEED" w:rsidRPr="6CEBCEED">
        <w:rPr>
          <w:rFonts w:ascii="Symbol" w:eastAsia="Symbol" w:hAnsi="Symbol" w:cs="Symbol"/>
        </w:rPr>
        <w:t></w:t>
      </w:r>
      <w:r w:rsidR="007F0466" w:rsidRPr="6CEBCEED">
        <w:rPr>
          <w:vertAlign w:val="subscript"/>
        </w:rPr>
        <w:t>max</w:t>
      </w:r>
      <w:r w:rsidR="007F0466">
        <w:t xml:space="preserve"> is</w:t>
      </w:r>
      <w:r w:rsidR="6CEBCEED">
        <w:t xml:space="preserve"> obtained from the BPLUT.</w:t>
      </w:r>
    </w:p>
    <w:p w14:paraId="44D35FB9" w14:textId="77777777" w:rsidR="006B3CF0" w:rsidRDefault="006B3CF0" w:rsidP="006B3CF0">
      <w:pPr>
        <w:jc w:val="both"/>
      </w:pPr>
    </w:p>
    <w:p w14:paraId="4BDF514A" w14:textId="77777777" w:rsidR="00207FA1" w:rsidRDefault="00207FA1" w:rsidP="00207FA1">
      <w:pPr>
        <w:jc w:val="both"/>
      </w:pPr>
      <w:r>
        <w:t xml:space="preserve">The resulting radiation-use efficiency coefficient </w:t>
      </w:r>
      <w:r>
        <w:rPr>
          <w:rFonts w:ascii="Symbol" w:eastAsia="Symbol" w:hAnsi="Symbol" w:cs="Symbol"/>
        </w:rPr>
        <w:t></w:t>
      </w:r>
      <w:r>
        <w:t xml:space="preserve"> is combined with estimates of APAR to calculate GPP (kg </w:t>
      </w:r>
      <w:proofErr w:type="gramStart"/>
      <w:r>
        <w:t>C day</w:t>
      </w:r>
      <w:proofErr w:type="gramEnd"/>
      <w:r>
        <w:rPr>
          <w:vertAlign w:val="superscript"/>
        </w:rPr>
        <w:t>-1</w:t>
      </w:r>
      <w:r>
        <w:t>) as</w:t>
      </w:r>
    </w:p>
    <w:p w14:paraId="513E6E6E" w14:textId="77777777" w:rsidR="00207FA1" w:rsidRDefault="00207FA1" w:rsidP="00207FA1">
      <w:pPr>
        <w:jc w:val="both"/>
      </w:pPr>
    </w:p>
    <w:p w14:paraId="631F570A" w14:textId="77777777" w:rsidR="00207FA1" w:rsidRDefault="00207FA1" w:rsidP="00207FA1">
      <w:pPr>
        <w:ind w:firstLine="720"/>
        <w:jc w:val="both"/>
        <w:rPr>
          <w:b/>
          <w:bCs/>
        </w:rPr>
      </w:pPr>
      <w:r>
        <w:t xml:space="preserve">GPP = </w:t>
      </w:r>
      <w:r>
        <w:rPr>
          <w:rFonts w:ascii="Symbol" w:eastAsia="Symbol" w:hAnsi="Symbol" w:cs="Symbol"/>
        </w:rPr>
        <w:t></w:t>
      </w:r>
      <w:r>
        <w:t xml:space="preserve"> * APAR </w:t>
      </w:r>
      <w:r>
        <w:tab/>
      </w:r>
      <w:r>
        <w:tab/>
      </w:r>
      <w:r>
        <w:tab/>
      </w:r>
      <w:r>
        <w:tab/>
      </w:r>
      <w:r>
        <w:tab/>
      </w:r>
      <w:r>
        <w:tab/>
      </w:r>
      <w:r>
        <w:tab/>
      </w:r>
      <w:r>
        <w:tab/>
      </w:r>
      <w:r>
        <w:tab/>
      </w:r>
      <w:r>
        <w:rPr>
          <w:b/>
          <w:bCs/>
        </w:rPr>
        <w:t>(1.2)</w:t>
      </w:r>
    </w:p>
    <w:p w14:paraId="445AF5BF" w14:textId="77777777" w:rsidR="00207FA1" w:rsidRDefault="00207FA1" w:rsidP="00207FA1">
      <w:pPr>
        <w:jc w:val="both"/>
        <w:rPr>
          <w:b/>
          <w:bCs/>
        </w:rPr>
      </w:pPr>
    </w:p>
    <w:p w14:paraId="7092756D" w14:textId="77777777" w:rsidR="00207FA1" w:rsidRDefault="00207FA1" w:rsidP="00207FA1">
      <w:pPr>
        <w:jc w:val="both"/>
      </w:pPr>
      <w:r>
        <w:lastRenderedPageBreak/>
        <w:t>where APAR = PAR * FPAR.  PAR must be estimated from incident shortwave radiation (</w:t>
      </w:r>
      <w:proofErr w:type="spellStart"/>
      <w:r>
        <w:t>SWRad</w:t>
      </w:r>
      <w:proofErr w:type="spellEnd"/>
      <w:r>
        <w:t xml:space="preserve">, provided in the GMAO/NASA dataset) as </w:t>
      </w:r>
    </w:p>
    <w:p w14:paraId="3DAFDD05" w14:textId="77777777" w:rsidR="00207FA1" w:rsidRDefault="00207FA1" w:rsidP="00207FA1">
      <w:pPr>
        <w:jc w:val="both"/>
      </w:pPr>
    </w:p>
    <w:p w14:paraId="1EBEDD6A" w14:textId="77777777" w:rsidR="00207FA1" w:rsidRDefault="00207FA1" w:rsidP="00207FA1">
      <w:pPr>
        <w:ind w:firstLine="720"/>
        <w:jc w:val="both"/>
        <w:rPr>
          <w:b/>
        </w:rPr>
      </w:pPr>
      <w:r>
        <w:t>PAR = (</w:t>
      </w:r>
      <w:proofErr w:type="spellStart"/>
      <w:r>
        <w:t>SWRad</w:t>
      </w:r>
      <w:proofErr w:type="spellEnd"/>
      <w:r>
        <w:t xml:space="preserve"> * 0.45)</w:t>
      </w:r>
      <w:r>
        <w:tab/>
      </w:r>
      <w:r>
        <w:tab/>
      </w:r>
      <w:r>
        <w:tab/>
      </w:r>
      <w:r>
        <w:tab/>
      </w:r>
      <w:r>
        <w:tab/>
      </w:r>
      <w:r>
        <w:tab/>
      </w:r>
      <w:r>
        <w:tab/>
      </w:r>
      <w:r>
        <w:tab/>
      </w:r>
      <w:r>
        <w:rPr>
          <w:b/>
        </w:rPr>
        <w:t>(1.3)</w:t>
      </w:r>
    </w:p>
    <w:p w14:paraId="1B40E1C2" w14:textId="77777777" w:rsidR="00207FA1" w:rsidRDefault="00207FA1" w:rsidP="00207FA1">
      <w:pPr>
        <w:jc w:val="both"/>
        <w:rPr>
          <w:b/>
          <w:bCs/>
        </w:rPr>
      </w:pPr>
    </w:p>
    <w:p w14:paraId="23219670" w14:textId="77777777" w:rsidR="00207FA1" w:rsidRDefault="00207FA1" w:rsidP="00207FA1">
      <w:pPr>
        <w:jc w:val="both"/>
      </w:pPr>
      <w:r>
        <w:t xml:space="preserve">While GPP (Equation 1.2) is calculated daily, 8-day totals of GPP are created and these totals are available to the public. The totals are named for the first day included in the 8-day period.  </w:t>
      </w:r>
    </w:p>
    <w:p w14:paraId="45F10F28" w14:textId="77777777" w:rsidR="00207FA1" w:rsidRPr="006B3CF0" w:rsidRDefault="00207FA1" w:rsidP="006B3CF0">
      <w:pPr>
        <w:jc w:val="both"/>
      </w:pPr>
    </w:p>
    <w:p w14:paraId="2BA226A1" w14:textId="77777777" w:rsidR="0078185C" w:rsidRDefault="0078185C">
      <w:pPr>
        <w:jc w:val="both"/>
      </w:pPr>
    </w:p>
    <w:p w14:paraId="1D0EEE26" w14:textId="77777777" w:rsidR="0078185C" w:rsidRDefault="00000000">
      <w:pPr>
        <w:jc w:val="both"/>
        <w:rPr>
          <w:b/>
          <w:bCs/>
          <w:szCs w:val="12"/>
        </w:rPr>
      </w:pPr>
      <w:r>
        <w:rPr>
          <w:b/>
          <w:bCs/>
          <w:noProof/>
          <w:szCs w:val="12"/>
        </w:rPr>
        <w:drawing>
          <wp:anchor distT="0" distB="0" distL="114300" distR="114300" simplePos="0" relativeHeight="8" behindDoc="0" locked="0" layoutInCell="1" allowOverlap="1" wp14:anchorId="7995F0AA" wp14:editId="07777777">
            <wp:simplePos x="0" y="0"/>
            <wp:positionH relativeFrom="column">
              <wp:align>center</wp:align>
            </wp:positionH>
            <wp:positionV relativeFrom="paragraph">
              <wp:posOffset>635</wp:posOffset>
            </wp:positionV>
            <wp:extent cx="5477510" cy="1791970"/>
            <wp:effectExtent l="0" t="0" r="0" b="0"/>
            <wp:wrapTopAndBottom/>
            <wp:docPr id="14"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851"/>
                    <pic:cNvPicPr>
                      <a:picLocks noChangeAspect="1" noChangeArrowheads="1"/>
                    </pic:cNvPicPr>
                  </pic:nvPicPr>
                  <pic:blipFill>
                    <a:blip r:embed="rId15"/>
                    <a:stretch>
                      <a:fillRect/>
                    </a:stretch>
                  </pic:blipFill>
                  <pic:spPr bwMode="auto">
                    <a:xfrm>
                      <a:off x="0" y="0"/>
                      <a:ext cx="5477510" cy="1791970"/>
                    </a:xfrm>
                    <a:prstGeom prst="rect">
                      <a:avLst/>
                    </a:prstGeom>
                  </pic:spPr>
                </pic:pic>
              </a:graphicData>
            </a:graphic>
          </wp:anchor>
        </w:drawing>
      </w:r>
    </w:p>
    <w:p w14:paraId="731DA011" w14:textId="6CC0DF15" w:rsidR="00207FA1" w:rsidRDefault="00000000">
      <w:pPr>
        <w:jc w:val="both"/>
        <w:rPr>
          <w:b/>
          <w:i/>
          <w:szCs w:val="12"/>
        </w:rPr>
      </w:pPr>
      <w:r>
        <w:rPr>
          <w:b/>
          <w:bCs/>
          <w:i/>
          <w:szCs w:val="12"/>
        </w:rPr>
        <w:t>Figure 1.</w:t>
      </w:r>
      <w:r w:rsidR="00761723">
        <w:rPr>
          <w:b/>
          <w:bCs/>
          <w:i/>
          <w:szCs w:val="12"/>
        </w:rPr>
        <w:t>3</w:t>
      </w:r>
      <w:r>
        <w:rPr>
          <w:b/>
          <w:bCs/>
          <w:i/>
          <w:szCs w:val="12"/>
        </w:rPr>
        <w:t xml:space="preserve">.  </w:t>
      </w:r>
      <w:r>
        <w:rPr>
          <w:i/>
          <w:szCs w:val="12"/>
        </w:rPr>
        <w:t>The TMIN and VPD attenuation scalars are simple linear ramp functions of daily TMIN and VPD.</w:t>
      </w:r>
      <w:r>
        <w:rPr>
          <w:b/>
          <w:i/>
          <w:szCs w:val="12"/>
        </w:rPr>
        <w:t xml:space="preserve"> </w:t>
      </w:r>
    </w:p>
    <w:p w14:paraId="20620E07" w14:textId="77777777" w:rsidR="00207FA1" w:rsidRDefault="00207FA1">
      <w:pPr>
        <w:jc w:val="both"/>
      </w:pPr>
    </w:p>
    <w:p w14:paraId="26018787" w14:textId="762A3990" w:rsidR="0078185C" w:rsidRDefault="00000000">
      <w:pPr>
        <w:jc w:val="both"/>
        <w:rPr>
          <w:i/>
          <w:iCs/>
        </w:rPr>
      </w:pPr>
      <w:r>
        <w:rPr>
          <w:rFonts w:ascii="Webdings" w:eastAsia="Webdings" w:hAnsi="Webdings" w:cs="Webdings"/>
        </w:rPr>
        <w:t></w:t>
      </w:r>
      <w:r>
        <w:t xml:space="preserve"> </w:t>
      </w:r>
      <w:r>
        <w:rPr>
          <w:i/>
          <w:iCs/>
        </w:rPr>
        <w:t xml:space="preserve">Each total consists of 8 consecutive days of data, and there are 46 such totals created for each calendar year of data collection. To obtain an estimate of daily GPP for this 8-day period, it is necessary to divide the 8-day total obtained from the </w:t>
      </w:r>
      <w:r w:rsidR="00852794">
        <w:rPr>
          <w:i/>
          <w:iCs/>
        </w:rPr>
        <w:t>publicly available</w:t>
      </w:r>
      <w:r>
        <w:rPr>
          <w:i/>
          <w:iCs/>
        </w:rPr>
        <w:t xml:space="preserve"> VNP17A2[GF] product by eight (8) for the first 45 values/year and by </w:t>
      </w:r>
      <w:r>
        <w:rPr>
          <w:i/>
          <w:iCs/>
          <w:u w:val="single"/>
        </w:rPr>
        <w:t>five (or six in a leap year) for the final period</w:t>
      </w:r>
      <w:r>
        <w:rPr>
          <w:i/>
          <w:iCs/>
        </w:rPr>
        <w:t>.</w:t>
      </w:r>
    </w:p>
    <w:p w14:paraId="1A6D74CA" w14:textId="77777777" w:rsidR="002B1393" w:rsidRDefault="002B1393">
      <w:pPr>
        <w:pStyle w:val="Heading3"/>
        <w:jc w:val="left"/>
      </w:pPr>
    </w:p>
    <w:p w14:paraId="7CE90200" w14:textId="4A50D7A3" w:rsidR="0078185C" w:rsidRDefault="00000000">
      <w:pPr>
        <w:pStyle w:val="Heading3"/>
        <w:jc w:val="left"/>
      </w:pPr>
      <w:bookmarkStart w:id="8" w:name="_Toc181041979"/>
      <w:r>
        <w:t>1.3.2. Daily maintenance respiration and net photosynthesis.</w:t>
      </w:r>
      <w:bookmarkEnd w:id="8"/>
      <w:r>
        <w:t xml:space="preserve">  </w:t>
      </w:r>
    </w:p>
    <w:p w14:paraId="19219836" w14:textId="77777777" w:rsidR="0078185C" w:rsidRDefault="0078185C">
      <w:pPr>
        <w:ind w:firstLine="720"/>
        <w:jc w:val="both"/>
      </w:pPr>
    </w:p>
    <w:p w14:paraId="769D0D3C" w14:textId="77777777" w:rsidR="0078185C" w:rsidRDefault="0078185C">
      <w:pPr>
        <w:jc w:val="both"/>
        <w:rPr>
          <w:b/>
          <w:bCs/>
        </w:rPr>
      </w:pPr>
    </w:p>
    <w:p w14:paraId="4CC55C15" w14:textId="77777777" w:rsidR="0078185C" w:rsidRDefault="00000000">
      <w:pPr>
        <w:jc w:val="both"/>
        <w:rPr>
          <w:b/>
          <w:i/>
        </w:rPr>
      </w:pPr>
      <w:r>
        <w:rPr>
          <w:b/>
          <w:bCs/>
          <w:i/>
        </w:rPr>
        <w:t>Table 1.2.</w:t>
      </w:r>
      <w:r>
        <w:rPr>
          <w:b/>
          <w:i/>
        </w:rPr>
        <w:t xml:space="preserve"> </w:t>
      </w:r>
      <w:r>
        <w:rPr>
          <w:i/>
        </w:rPr>
        <w:t>BPLUT parameters for daily maintenance respiration.</w:t>
      </w:r>
    </w:p>
    <w:tbl>
      <w:tblPr>
        <w:tblW w:w="9108" w:type="dxa"/>
        <w:tblLook w:val="0000" w:firstRow="0" w:lastRow="0" w:firstColumn="0" w:lastColumn="0" w:noHBand="0" w:noVBand="0"/>
      </w:tblPr>
      <w:tblGrid>
        <w:gridCol w:w="2149"/>
        <w:gridCol w:w="2042"/>
        <w:gridCol w:w="4917"/>
      </w:tblGrid>
      <w:tr w:rsidR="0078185C" w14:paraId="533F9DDC" w14:textId="77777777">
        <w:tc>
          <w:tcPr>
            <w:tcW w:w="2149" w:type="dxa"/>
            <w:tcBorders>
              <w:top w:val="single" w:sz="4" w:space="0" w:color="000000"/>
              <w:left w:val="single" w:sz="4" w:space="0" w:color="000000"/>
              <w:bottom w:val="double" w:sz="4" w:space="0" w:color="000000"/>
              <w:right w:val="single" w:sz="4" w:space="0" w:color="000000"/>
            </w:tcBorders>
          </w:tcPr>
          <w:p w14:paraId="06B6A4E9" w14:textId="77777777" w:rsidR="0078185C" w:rsidRDefault="00000000">
            <w:pPr>
              <w:jc w:val="both"/>
              <w:rPr>
                <w:b/>
                <w:bCs/>
              </w:rPr>
            </w:pPr>
            <w:r>
              <w:rPr>
                <w:b/>
                <w:bCs/>
              </w:rPr>
              <w:t>Parameter</w:t>
            </w:r>
          </w:p>
        </w:tc>
        <w:tc>
          <w:tcPr>
            <w:tcW w:w="2042" w:type="dxa"/>
            <w:tcBorders>
              <w:top w:val="single" w:sz="4" w:space="0" w:color="000000"/>
              <w:left w:val="single" w:sz="4" w:space="0" w:color="000000"/>
              <w:bottom w:val="double" w:sz="4" w:space="0" w:color="000000"/>
              <w:right w:val="single" w:sz="4" w:space="0" w:color="000000"/>
            </w:tcBorders>
          </w:tcPr>
          <w:p w14:paraId="201C3B78" w14:textId="77777777" w:rsidR="0078185C" w:rsidRDefault="00000000">
            <w:pPr>
              <w:jc w:val="both"/>
              <w:rPr>
                <w:b/>
                <w:bCs/>
              </w:rPr>
            </w:pPr>
            <w:r>
              <w:rPr>
                <w:b/>
                <w:bCs/>
              </w:rPr>
              <w:t>Units</w:t>
            </w:r>
          </w:p>
        </w:tc>
        <w:tc>
          <w:tcPr>
            <w:tcW w:w="4917" w:type="dxa"/>
            <w:tcBorders>
              <w:top w:val="single" w:sz="4" w:space="0" w:color="000000"/>
              <w:left w:val="single" w:sz="4" w:space="0" w:color="000000"/>
              <w:bottom w:val="double" w:sz="4" w:space="0" w:color="000000"/>
              <w:right w:val="single" w:sz="4" w:space="0" w:color="000000"/>
            </w:tcBorders>
          </w:tcPr>
          <w:p w14:paraId="02F99ED9" w14:textId="77777777" w:rsidR="0078185C" w:rsidRDefault="00000000">
            <w:pPr>
              <w:jc w:val="both"/>
              <w:rPr>
                <w:b/>
                <w:bCs/>
              </w:rPr>
            </w:pPr>
            <w:r>
              <w:rPr>
                <w:b/>
                <w:bCs/>
              </w:rPr>
              <w:t>Description</w:t>
            </w:r>
          </w:p>
        </w:tc>
      </w:tr>
      <w:tr w:rsidR="0078185C" w14:paraId="34A70FB9" w14:textId="77777777">
        <w:tc>
          <w:tcPr>
            <w:tcW w:w="2149" w:type="dxa"/>
            <w:tcBorders>
              <w:top w:val="double" w:sz="4" w:space="0" w:color="000000"/>
              <w:left w:val="single" w:sz="4" w:space="0" w:color="000000"/>
              <w:bottom w:val="single" w:sz="4" w:space="0" w:color="000000"/>
              <w:right w:val="single" w:sz="4" w:space="0" w:color="000000"/>
            </w:tcBorders>
          </w:tcPr>
          <w:p w14:paraId="2B7907CF" w14:textId="77777777" w:rsidR="0078185C" w:rsidRDefault="00000000">
            <w:pPr>
              <w:jc w:val="both"/>
            </w:pPr>
            <w:r>
              <w:t>SLA</w:t>
            </w:r>
          </w:p>
        </w:tc>
        <w:tc>
          <w:tcPr>
            <w:tcW w:w="2042" w:type="dxa"/>
            <w:tcBorders>
              <w:top w:val="double" w:sz="4" w:space="0" w:color="000000"/>
              <w:left w:val="single" w:sz="4" w:space="0" w:color="000000"/>
              <w:bottom w:val="single" w:sz="4" w:space="0" w:color="000000"/>
              <w:right w:val="single" w:sz="4" w:space="0" w:color="000000"/>
            </w:tcBorders>
          </w:tcPr>
          <w:p w14:paraId="47A37694" w14:textId="77777777" w:rsidR="0078185C" w:rsidRDefault="00000000">
            <w:pPr>
              <w:jc w:val="both"/>
            </w:pPr>
            <w:r>
              <w:t>(m</w:t>
            </w:r>
            <w:r>
              <w:rPr>
                <w:vertAlign w:val="superscript"/>
              </w:rPr>
              <w:t>2</w:t>
            </w:r>
            <w:r>
              <w:t xml:space="preserve"> kg C</w:t>
            </w:r>
            <w:r>
              <w:rPr>
                <w:vertAlign w:val="superscript"/>
              </w:rPr>
              <w:t>-1</w:t>
            </w:r>
            <w:r>
              <w:t>)</w:t>
            </w:r>
          </w:p>
        </w:tc>
        <w:tc>
          <w:tcPr>
            <w:tcW w:w="4917" w:type="dxa"/>
            <w:tcBorders>
              <w:top w:val="double" w:sz="4" w:space="0" w:color="000000"/>
              <w:left w:val="single" w:sz="4" w:space="0" w:color="000000"/>
              <w:bottom w:val="single" w:sz="4" w:space="0" w:color="000000"/>
              <w:right w:val="single" w:sz="4" w:space="0" w:color="000000"/>
            </w:tcBorders>
          </w:tcPr>
          <w:p w14:paraId="69F2A450" w14:textId="77777777" w:rsidR="0078185C" w:rsidRDefault="00000000">
            <w:pPr>
              <w:jc w:val="both"/>
            </w:pPr>
            <w:r>
              <w:t>Projected leaf area per unit mass of leaf carbon</w:t>
            </w:r>
          </w:p>
        </w:tc>
      </w:tr>
      <w:tr w:rsidR="0078185C" w14:paraId="7E43E2FF" w14:textId="77777777">
        <w:tc>
          <w:tcPr>
            <w:tcW w:w="2149" w:type="dxa"/>
            <w:tcBorders>
              <w:top w:val="single" w:sz="4" w:space="0" w:color="000000"/>
              <w:left w:val="single" w:sz="4" w:space="0" w:color="000000"/>
              <w:bottom w:val="single" w:sz="4" w:space="0" w:color="000000"/>
              <w:right w:val="single" w:sz="4" w:space="0" w:color="000000"/>
            </w:tcBorders>
          </w:tcPr>
          <w:p w14:paraId="0EBAE9D6" w14:textId="77777777" w:rsidR="0078185C" w:rsidRDefault="00000000">
            <w:pPr>
              <w:jc w:val="both"/>
            </w:pPr>
            <w:proofErr w:type="spellStart"/>
            <w:r>
              <w:t>froot_leaf_ratio</w:t>
            </w:r>
            <w:proofErr w:type="spellEnd"/>
          </w:p>
        </w:tc>
        <w:tc>
          <w:tcPr>
            <w:tcW w:w="2042" w:type="dxa"/>
            <w:tcBorders>
              <w:top w:val="single" w:sz="4" w:space="0" w:color="000000"/>
              <w:left w:val="single" w:sz="4" w:space="0" w:color="000000"/>
              <w:bottom w:val="single" w:sz="4" w:space="0" w:color="000000"/>
              <w:right w:val="single" w:sz="4" w:space="0" w:color="000000"/>
            </w:tcBorders>
          </w:tcPr>
          <w:p w14:paraId="48C9DA01" w14:textId="77777777" w:rsidR="0078185C" w:rsidRDefault="00000000">
            <w:pPr>
              <w:jc w:val="both"/>
            </w:pPr>
            <w:r>
              <w:t>None</w:t>
            </w:r>
          </w:p>
        </w:tc>
        <w:tc>
          <w:tcPr>
            <w:tcW w:w="4917" w:type="dxa"/>
            <w:tcBorders>
              <w:top w:val="single" w:sz="4" w:space="0" w:color="000000"/>
              <w:left w:val="single" w:sz="4" w:space="0" w:color="000000"/>
              <w:bottom w:val="single" w:sz="4" w:space="0" w:color="000000"/>
              <w:right w:val="single" w:sz="4" w:space="0" w:color="000000"/>
            </w:tcBorders>
          </w:tcPr>
          <w:p w14:paraId="20769D14" w14:textId="77777777" w:rsidR="0078185C" w:rsidRDefault="00000000">
            <w:pPr>
              <w:jc w:val="both"/>
            </w:pPr>
            <w:r>
              <w:t>Ratio of fine root carbon to leaf carbon</w:t>
            </w:r>
          </w:p>
        </w:tc>
      </w:tr>
      <w:tr w:rsidR="0078185C" w14:paraId="64AF5CCE" w14:textId="77777777">
        <w:tc>
          <w:tcPr>
            <w:tcW w:w="2149" w:type="dxa"/>
            <w:tcBorders>
              <w:top w:val="single" w:sz="4" w:space="0" w:color="000000"/>
              <w:left w:val="single" w:sz="4" w:space="0" w:color="000000"/>
              <w:bottom w:val="single" w:sz="4" w:space="0" w:color="000000"/>
              <w:right w:val="single" w:sz="4" w:space="0" w:color="000000"/>
            </w:tcBorders>
          </w:tcPr>
          <w:p w14:paraId="2845C0CB" w14:textId="77777777" w:rsidR="0078185C" w:rsidRDefault="00000000">
            <w:pPr>
              <w:jc w:val="both"/>
            </w:pPr>
            <w:proofErr w:type="spellStart"/>
            <w:r>
              <w:t>leaf_mr_base</w:t>
            </w:r>
            <w:proofErr w:type="spellEnd"/>
          </w:p>
        </w:tc>
        <w:tc>
          <w:tcPr>
            <w:tcW w:w="2042" w:type="dxa"/>
            <w:tcBorders>
              <w:top w:val="single" w:sz="4" w:space="0" w:color="000000"/>
              <w:left w:val="single" w:sz="4" w:space="0" w:color="000000"/>
              <w:bottom w:val="single" w:sz="4" w:space="0" w:color="000000"/>
              <w:right w:val="single" w:sz="4" w:space="0" w:color="000000"/>
            </w:tcBorders>
          </w:tcPr>
          <w:p w14:paraId="13F91449" w14:textId="77777777" w:rsidR="0078185C" w:rsidRDefault="00000000">
            <w:pPr>
              <w:jc w:val="both"/>
            </w:pPr>
            <w:r>
              <w:t>(kg C kg C</w:t>
            </w:r>
            <w:r>
              <w:rPr>
                <w:vertAlign w:val="superscript"/>
              </w:rPr>
              <w:t>-1</w:t>
            </w:r>
            <w:r>
              <w:t xml:space="preserve"> day</w:t>
            </w:r>
            <w:r>
              <w:rPr>
                <w:vertAlign w:val="superscript"/>
              </w:rPr>
              <w:t>-1</w:t>
            </w:r>
            <w:r>
              <w:t>)</w:t>
            </w:r>
          </w:p>
        </w:tc>
        <w:tc>
          <w:tcPr>
            <w:tcW w:w="4917" w:type="dxa"/>
            <w:tcBorders>
              <w:top w:val="single" w:sz="4" w:space="0" w:color="000000"/>
              <w:left w:val="single" w:sz="4" w:space="0" w:color="000000"/>
              <w:bottom w:val="single" w:sz="4" w:space="0" w:color="000000"/>
              <w:right w:val="single" w:sz="4" w:space="0" w:color="000000"/>
            </w:tcBorders>
          </w:tcPr>
          <w:p w14:paraId="7FBE12B0" w14:textId="77777777" w:rsidR="0078185C" w:rsidRDefault="00000000">
            <w:pPr>
              <w:jc w:val="both"/>
            </w:pPr>
            <w:r>
              <w:t xml:space="preserve">Maintenance respiration per unit leaf carbon per day at 20 </w:t>
            </w:r>
            <w:r>
              <w:rPr>
                <w:rFonts w:ascii="Symbol" w:eastAsia="Symbol" w:hAnsi="Symbol" w:cs="Symbol"/>
              </w:rPr>
              <w:t></w:t>
            </w:r>
            <w:r>
              <w:t>C</w:t>
            </w:r>
          </w:p>
        </w:tc>
      </w:tr>
      <w:tr w:rsidR="0078185C" w14:paraId="488B1FD3" w14:textId="77777777">
        <w:tc>
          <w:tcPr>
            <w:tcW w:w="2149" w:type="dxa"/>
            <w:tcBorders>
              <w:top w:val="single" w:sz="4" w:space="0" w:color="000000"/>
              <w:left w:val="single" w:sz="4" w:space="0" w:color="000000"/>
              <w:bottom w:val="single" w:sz="4" w:space="0" w:color="000000"/>
              <w:right w:val="single" w:sz="4" w:space="0" w:color="000000"/>
            </w:tcBorders>
          </w:tcPr>
          <w:p w14:paraId="00744477" w14:textId="77777777" w:rsidR="0078185C" w:rsidRDefault="00000000">
            <w:pPr>
              <w:jc w:val="both"/>
            </w:pPr>
            <w:proofErr w:type="spellStart"/>
            <w:r>
              <w:t>froot_mr_base</w:t>
            </w:r>
            <w:proofErr w:type="spellEnd"/>
          </w:p>
        </w:tc>
        <w:tc>
          <w:tcPr>
            <w:tcW w:w="2042" w:type="dxa"/>
            <w:tcBorders>
              <w:top w:val="single" w:sz="4" w:space="0" w:color="000000"/>
              <w:left w:val="single" w:sz="4" w:space="0" w:color="000000"/>
              <w:bottom w:val="single" w:sz="4" w:space="0" w:color="000000"/>
              <w:right w:val="single" w:sz="4" w:space="0" w:color="000000"/>
            </w:tcBorders>
          </w:tcPr>
          <w:p w14:paraId="63BAC501" w14:textId="77777777" w:rsidR="0078185C" w:rsidRDefault="00000000">
            <w:pPr>
              <w:jc w:val="both"/>
            </w:pPr>
            <w:r>
              <w:t>(kg C kg C</w:t>
            </w:r>
            <w:r>
              <w:rPr>
                <w:vertAlign w:val="superscript"/>
              </w:rPr>
              <w:t>-1</w:t>
            </w:r>
            <w:r>
              <w:t xml:space="preserve"> day</w:t>
            </w:r>
            <w:r>
              <w:rPr>
                <w:vertAlign w:val="superscript"/>
              </w:rPr>
              <w:t>-1</w:t>
            </w:r>
            <w:r>
              <w:t>)</w:t>
            </w:r>
          </w:p>
        </w:tc>
        <w:tc>
          <w:tcPr>
            <w:tcW w:w="4917" w:type="dxa"/>
            <w:tcBorders>
              <w:top w:val="single" w:sz="4" w:space="0" w:color="000000"/>
              <w:left w:val="single" w:sz="4" w:space="0" w:color="000000"/>
              <w:bottom w:val="single" w:sz="4" w:space="0" w:color="000000"/>
              <w:right w:val="single" w:sz="4" w:space="0" w:color="000000"/>
            </w:tcBorders>
          </w:tcPr>
          <w:p w14:paraId="27B7CDE8" w14:textId="77777777" w:rsidR="0078185C" w:rsidRDefault="00000000">
            <w:pPr>
              <w:jc w:val="both"/>
            </w:pPr>
            <w:r>
              <w:t xml:space="preserve">Maintenance respiration per unit fine root carbon per day at 20 </w:t>
            </w:r>
            <w:r>
              <w:rPr>
                <w:rFonts w:ascii="Symbol" w:eastAsia="Symbol" w:hAnsi="Symbol" w:cs="Symbol"/>
              </w:rPr>
              <w:t></w:t>
            </w:r>
            <w:r>
              <w:t>C</w:t>
            </w:r>
          </w:p>
        </w:tc>
      </w:tr>
      <w:tr w:rsidR="0078185C" w14:paraId="02A6944C" w14:textId="77777777">
        <w:tc>
          <w:tcPr>
            <w:tcW w:w="2149" w:type="dxa"/>
            <w:tcBorders>
              <w:top w:val="single" w:sz="4" w:space="0" w:color="000000"/>
              <w:left w:val="single" w:sz="4" w:space="0" w:color="000000"/>
              <w:bottom w:val="single" w:sz="4" w:space="0" w:color="000000"/>
              <w:right w:val="single" w:sz="4" w:space="0" w:color="000000"/>
            </w:tcBorders>
          </w:tcPr>
          <w:p w14:paraId="6256DB28" w14:textId="77777777" w:rsidR="0078185C" w:rsidRDefault="00000000">
            <w:pPr>
              <w:jc w:val="both"/>
            </w:pPr>
            <w:r>
              <w:t>Q</w:t>
            </w:r>
            <w:r>
              <w:rPr>
                <w:vertAlign w:val="subscript"/>
              </w:rPr>
              <w:t>10</w:t>
            </w:r>
            <w:r>
              <w:t>_mr_leaf</w:t>
            </w:r>
          </w:p>
        </w:tc>
        <w:tc>
          <w:tcPr>
            <w:tcW w:w="2042" w:type="dxa"/>
            <w:tcBorders>
              <w:top w:val="single" w:sz="4" w:space="0" w:color="000000"/>
              <w:left w:val="single" w:sz="4" w:space="0" w:color="000000"/>
              <w:bottom w:val="single" w:sz="4" w:space="0" w:color="000000"/>
              <w:right w:val="single" w:sz="4" w:space="0" w:color="000000"/>
            </w:tcBorders>
          </w:tcPr>
          <w:p w14:paraId="3161A9A1" w14:textId="77777777" w:rsidR="0078185C" w:rsidRDefault="00000000">
            <w:pPr>
              <w:jc w:val="both"/>
            </w:pPr>
            <w:r>
              <w:t>None</w:t>
            </w:r>
          </w:p>
        </w:tc>
        <w:tc>
          <w:tcPr>
            <w:tcW w:w="4917" w:type="dxa"/>
            <w:tcBorders>
              <w:top w:val="single" w:sz="4" w:space="0" w:color="000000"/>
              <w:left w:val="single" w:sz="4" w:space="0" w:color="000000"/>
              <w:bottom w:val="single" w:sz="4" w:space="0" w:color="000000"/>
              <w:right w:val="single" w:sz="4" w:space="0" w:color="000000"/>
            </w:tcBorders>
          </w:tcPr>
          <w:p w14:paraId="17F27759" w14:textId="77777777" w:rsidR="0078185C" w:rsidRDefault="00000000">
            <w:pPr>
              <w:jc w:val="both"/>
            </w:pPr>
            <w:r>
              <w:t>Exponent shape parameter controlling respiration as a function of temperature for leaf, which itself is a function of air temperature to account for acclimation.</w:t>
            </w:r>
          </w:p>
        </w:tc>
      </w:tr>
      <w:tr w:rsidR="0078185C" w14:paraId="033242E5" w14:textId="77777777">
        <w:tc>
          <w:tcPr>
            <w:tcW w:w="2149" w:type="dxa"/>
            <w:tcBorders>
              <w:top w:val="single" w:sz="4" w:space="0" w:color="000000"/>
              <w:left w:val="single" w:sz="4" w:space="0" w:color="000000"/>
              <w:bottom w:val="single" w:sz="4" w:space="0" w:color="000000"/>
              <w:right w:val="single" w:sz="4" w:space="0" w:color="000000"/>
            </w:tcBorders>
          </w:tcPr>
          <w:p w14:paraId="5B2836B8" w14:textId="77777777" w:rsidR="0078185C" w:rsidRDefault="00000000">
            <w:pPr>
              <w:jc w:val="both"/>
            </w:pPr>
            <w:r>
              <w:t>Q</w:t>
            </w:r>
            <w:r>
              <w:rPr>
                <w:vertAlign w:val="subscript"/>
              </w:rPr>
              <w:t>10</w:t>
            </w:r>
            <w:r>
              <w:t>_mr_froot</w:t>
            </w:r>
          </w:p>
        </w:tc>
        <w:tc>
          <w:tcPr>
            <w:tcW w:w="2042" w:type="dxa"/>
            <w:tcBorders>
              <w:top w:val="single" w:sz="4" w:space="0" w:color="000000"/>
              <w:left w:val="single" w:sz="4" w:space="0" w:color="000000"/>
              <w:bottom w:val="single" w:sz="4" w:space="0" w:color="000000"/>
              <w:right w:val="single" w:sz="4" w:space="0" w:color="000000"/>
            </w:tcBorders>
          </w:tcPr>
          <w:p w14:paraId="11BE731D" w14:textId="77777777" w:rsidR="0078185C" w:rsidRDefault="00000000">
            <w:pPr>
              <w:jc w:val="both"/>
            </w:pPr>
            <w:r>
              <w:t>None</w:t>
            </w:r>
          </w:p>
        </w:tc>
        <w:tc>
          <w:tcPr>
            <w:tcW w:w="4917" w:type="dxa"/>
            <w:tcBorders>
              <w:top w:val="single" w:sz="4" w:space="0" w:color="000000"/>
              <w:left w:val="single" w:sz="4" w:space="0" w:color="000000"/>
              <w:bottom w:val="single" w:sz="4" w:space="0" w:color="000000"/>
              <w:right w:val="single" w:sz="4" w:space="0" w:color="000000"/>
            </w:tcBorders>
          </w:tcPr>
          <w:p w14:paraId="6B26870B" w14:textId="77777777" w:rsidR="0078185C" w:rsidRDefault="00000000">
            <w:pPr>
              <w:jc w:val="both"/>
            </w:pPr>
            <w:r>
              <w:t>Exponent shape parameter controlling respiration as a function of temperature for fine root</w:t>
            </w:r>
          </w:p>
        </w:tc>
      </w:tr>
    </w:tbl>
    <w:p w14:paraId="36FEB5B0" w14:textId="77777777" w:rsidR="0078185C" w:rsidRDefault="0078185C">
      <w:pPr>
        <w:jc w:val="both"/>
        <w:rPr>
          <w:b/>
          <w:bCs/>
        </w:rPr>
      </w:pPr>
    </w:p>
    <w:p w14:paraId="487BC96E" w14:textId="77777777" w:rsidR="00207FA1" w:rsidRDefault="00207FA1" w:rsidP="00207FA1">
      <w:pPr>
        <w:ind w:firstLine="720"/>
        <w:jc w:val="both"/>
      </w:pPr>
      <w:r>
        <w:lastRenderedPageBreak/>
        <w:t xml:space="preserve">Maintenance respiration costs (MR) for leaves and fine roots are summarized in the center flowchart of Figure 1.2 and are also calculated daily. There are five parameters within the BPLUT (Table 1.2) needed to calculate daily MR, which is dependent upon leaf mass, fine-root mass, base MR at 20 </w:t>
      </w:r>
      <w:r>
        <w:rPr>
          <w:rFonts w:ascii="Symbol" w:eastAsia="Symbol" w:hAnsi="Symbol" w:cs="Symbol"/>
        </w:rPr>
        <w:t></w:t>
      </w:r>
      <w:r>
        <w:t xml:space="preserve">C, and daily average temperature. Leaf mass (kg) is calculated as </w:t>
      </w:r>
    </w:p>
    <w:p w14:paraId="4FEB4CF0" w14:textId="77777777" w:rsidR="00207FA1" w:rsidRDefault="00207FA1" w:rsidP="00207FA1">
      <w:pPr>
        <w:jc w:val="both"/>
      </w:pPr>
    </w:p>
    <w:p w14:paraId="10F37413" w14:textId="77777777" w:rsidR="00207FA1" w:rsidRDefault="00207FA1" w:rsidP="00207FA1">
      <w:pPr>
        <w:ind w:firstLine="720"/>
        <w:jc w:val="both"/>
      </w:pPr>
      <w:proofErr w:type="spellStart"/>
      <w:r>
        <w:t>Leaf_Mass</w:t>
      </w:r>
      <w:proofErr w:type="spellEnd"/>
      <w:r>
        <w:t xml:space="preserve"> = LAI / SLA</w:t>
      </w:r>
      <w:r>
        <w:tab/>
      </w:r>
      <w:r>
        <w:tab/>
      </w:r>
      <w:r>
        <w:tab/>
      </w:r>
      <w:r>
        <w:tab/>
      </w:r>
      <w:r>
        <w:tab/>
      </w:r>
      <w:r>
        <w:tab/>
      </w:r>
      <w:r>
        <w:tab/>
      </w:r>
      <w:r>
        <w:tab/>
      </w:r>
      <w:r>
        <w:rPr>
          <w:b/>
          <w:bCs/>
        </w:rPr>
        <w:t>(1.4)</w:t>
      </w:r>
    </w:p>
    <w:p w14:paraId="66B8AB0E" w14:textId="77777777" w:rsidR="00207FA1" w:rsidRDefault="00207FA1" w:rsidP="00207FA1">
      <w:pPr>
        <w:jc w:val="both"/>
      </w:pPr>
    </w:p>
    <w:p w14:paraId="55873417" w14:textId="77777777" w:rsidR="00207FA1" w:rsidRDefault="00207FA1" w:rsidP="00207FA1">
      <w:pPr>
        <w:jc w:val="both"/>
      </w:pPr>
      <w:r>
        <w:t>where LAI, the leaf area index (m</w:t>
      </w:r>
      <w:r>
        <w:rPr>
          <w:vertAlign w:val="superscript"/>
        </w:rPr>
        <w:t>2</w:t>
      </w:r>
      <w:r>
        <w:t xml:space="preserve"> leaf m</w:t>
      </w:r>
      <w:r>
        <w:rPr>
          <w:vertAlign w:val="superscript"/>
        </w:rPr>
        <w:t>-2</w:t>
      </w:r>
      <w:r>
        <w:t xml:space="preserve"> ground area), is obtained from VIIRS FPAR/LAI data products (VNP15A2H and VJ115A2H) and the specific leaf area (SLA, projected leaf area kg</w:t>
      </w:r>
      <w:r>
        <w:rPr>
          <w:vertAlign w:val="superscript"/>
        </w:rPr>
        <w:t>-1</w:t>
      </w:r>
      <w:r>
        <w:t xml:space="preserve"> leaf C) for a given pixel is obtained from the BPLUT.</w:t>
      </w:r>
    </w:p>
    <w:p w14:paraId="58441F90" w14:textId="77777777" w:rsidR="00207FA1" w:rsidRDefault="00207FA1">
      <w:pPr>
        <w:jc w:val="both"/>
        <w:rPr>
          <w:b/>
          <w:bCs/>
        </w:rPr>
      </w:pPr>
    </w:p>
    <w:p w14:paraId="3D8C7271" w14:textId="489320CA" w:rsidR="0078185C" w:rsidRDefault="00000000">
      <w:pPr>
        <w:jc w:val="both"/>
      </w:pPr>
      <w:r>
        <w:t>Fine-root mass (</w:t>
      </w:r>
      <w:proofErr w:type="spellStart"/>
      <w:r>
        <w:t>Fine_Root_Mass</w:t>
      </w:r>
      <w:proofErr w:type="spellEnd"/>
      <w:r>
        <w:t>, kg) is then estimated as:</w:t>
      </w:r>
    </w:p>
    <w:p w14:paraId="30D7AA69" w14:textId="77777777" w:rsidR="0078185C" w:rsidRDefault="0078185C">
      <w:pPr>
        <w:jc w:val="both"/>
      </w:pPr>
    </w:p>
    <w:p w14:paraId="5801C555" w14:textId="77777777" w:rsidR="0078185C" w:rsidRDefault="00000000">
      <w:pPr>
        <w:ind w:firstLine="720"/>
        <w:jc w:val="both"/>
      </w:pPr>
      <w:proofErr w:type="spellStart"/>
      <w:r>
        <w:t>Fine_Root_Mass</w:t>
      </w:r>
      <w:proofErr w:type="spellEnd"/>
      <w:r>
        <w:t xml:space="preserve"> = </w:t>
      </w:r>
      <w:proofErr w:type="spellStart"/>
      <w:r>
        <w:t>Leaf_Mass</w:t>
      </w:r>
      <w:proofErr w:type="spellEnd"/>
      <w:r>
        <w:t xml:space="preserve"> * </w:t>
      </w:r>
      <w:proofErr w:type="spellStart"/>
      <w:r>
        <w:t>froot_leaf_ratio</w:t>
      </w:r>
      <w:proofErr w:type="spellEnd"/>
      <w:r>
        <w:tab/>
      </w:r>
      <w:r>
        <w:tab/>
      </w:r>
      <w:r>
        <w:tab/>
      </w:r>
      <w:r>
        <w:tab/>
      </w:r>
      <w:r>
        <w:tab/>
      </w:r>
      <w:r>
        <w:rPr>
          <w:b/>
          <w:bCs/>
        </w:rPr>
        <w:t>(1.5)</w:t>
      </w:r>
    </w:p>
    <w:p w14:paraId="7196D064" w14:textId="77777777" w:rsidR="0078185C" w:rsidRDefault="0078185C">
      <w:pPr>
        <w:jc w:val="both"/>
      </w:pPr>
    </w:p>
    <w:p w14:paraId="43FB6D2E" w14:textId="102E91A5" w:rsidR="0078185C" w:rsidRDefault="00000000">
      <w:pPr>
        <w:jc w:val="both"/>
      </w:pPr>
      <w:r>
        <w:t xml:space="preserve">where </w:t>
      </w:r>
      <w:proofErr w:type="spellStart"/>
      <w:r>
        <w:t>froot_leaf_ratio</w:t>
      </w:r>
      <w:proofErr w:type="spellEnd"/>
      <w:r>
        <w:t xml:space="preserve"> is the ratio of </w:t>
      </w:r>
      <w:r w:rsidR="007F0466">
        <w:t>fine root</w:t>
      </w:r>
      <w:r>
        <w:t xml:space="preserve"> to leaf mass (unitless) as obtained from the BPLUT.</w:t>
      </w:r>
    </w:p>
    <w:p w14:paraId="34FF1C98" w14:textId="77777777" w:rsidR="0078185C" w:rsidRDefault="0078185C">
      <w:pPr>
        <w:jc w:val="both"/>
      </w:pPr>
    </w:p>
    <w:p w14:paraId="1DB0B98B" w14:textId="77777777" w:rsidR="0078185C" w:rsidRDefault="00000000">
      <w:pPr>
        <w:jc w:val="both"/>
      </w:pPr>
      <w:r>
        <w:t>Leaf maintenance respiration (</w:t>
      </w:r>
      <w:proofErr w:type="spellStart"/>
      <w:r>
        <w:t>Leaf_MR</w:t>
      </w:r>
      <w:proofErr w:type="spellEnd"/>
      <w:r>
        <w:t xml:space="preserve">, kg </w:t>
      </w:r>
      <w:proofErr w:type="gramStart"/>
      <w:r>
        <w:t>C day</w:t>
      </w:r>
      <w:proofErr w:type="gramEnd"/>
      <w:r>
        <w:rPr>
          <w:vertAlign w:val="superscript"/>
        </w:rPr>
        <w:t>-1</w:t>
      </w:r>
      <w:r>
        <w:t>) is calculated as:</w:t>
      </w:r>
    </w:p>
    <w:p w14:paraId="6D072C0D" w14:textId="77777777" w:rsidR="0078185C" w:rsidRDefault="0078185C">
      <w:pPr>
        <w:jc w:val="both"/>
      </w:pPr>
    </w:p>
    <w:p w14:paraId="66E6965D" w14:textId="77777777" w:rsidR="0078185C" w:rsidRDefault="00000000">
      <w:pPr>
        <w:ind w:firstLine="720"/>
        <w:jc w:val="both"/>
      </w:pPr>
      <w:proofErr w:type="spellStart"/>
      <w:r>
        <w:t>Leaf_MR</w:t>
      </w:r>
      <w:proofErr w:type="spellEnd"/>
      <w:r>
        <w:t xml:space="preserve"> = </w:t>
      </w:r>
      <w:proofErr w:type="spellStart"/>
      <w:r>
        <w:t>Leaf_Mass</w:t>
      </w:r>
      <w:proofErr w:type="spellEnd"/>
      <w:r>
        <w:t xml:space="preserve"> * </w:t>
      </w:r>
      <w:proofErr w:type="spellStart"/>
      <w:r>
        <w:t>leaf_mr_base</w:t>
      </w:r>
      <w:proofErr w:type="spellEnd"/>
      <w:r>
        <w:t xml:space="preserve"> * Q</w:t>
      </w:r>
      <w:r>
        <w:rPr>
          <w:vertAlign w:val="subscript"/>
        </w:rPr>
        <w:t>10</w:t>
      </w:r>
      <w:r>
        <w:t>_mr_leaf</w:t>
      </w:r>
      <w:r>
        <w:rPr>
          <w:vertAlign w:val="superscript"/>
        </w:rPr>
        <w:t xml:space="preserve"> [(</w:t>
      </w:r>
      <w:proofErr w:type="spellStart"/>
      <w:r>
        <w:rPr>
          <w:vertAlign w:val="superscript"/>
        </w:rPr>
        <w:t>Tavg</w:t>
      </w:r>
      <w:proofErr w:type="spellEnd"/>
      <w:r>
        <w:rPr>
          <w:vertAlign w:val="superscript"/>
        </w:rPr>
        <w:t xml:space="preserve"> - 20.0) / 10.0]</w:t>
      </w:r>
      <w:r>
        <w:rPr>
          <w:vertAlign w:val="superscript"/>
        </w:rPr>
        <w:tab/>
      </w:r>
      <w:r>
        <w:rPr>
          <w:vertAlign w:val="superscript"/>
        </w:rPr>
        <w:tab/>
      </w:r>
      <w:r>
        <w:rPr>
          <w:b/>
          <w:bCs/>
        </w:rPr>
        <w:t>(1.6)</w:t>
      </w:r>
    </w:p>
    <w:p w14:paraId="48A21919" w14:textId="77777777" w:rsidR="0078185C" w:rsidRDefault="0078185C">
      <w:pPr>
        <w:jc w:val="both"/>
      </w:pPr>
    </w:p>
    <w:p w14:paraId="4B985B4B" w14:textId="77777777" w:rsidR="0078185C" w:rsidRDefault="00000000">
      <w:pPr>
        <w:jc w:val="both"/>
      </w:pPr>
      <w:r>
        <w:t xml:space="preserve">where </w:t>
      </w:r>
      <w:proofErr w:type="spellStart"/>
      <w:r>
        <w:t>leaf_mr_base</w:t>
      </w:r>
      <w:proofErr w:type="spellEnd"/>
      <w:r>
        <w:t xml:space="preserve"> is the maintenance respiration of leaves (kg C kg C</w:t>
      </w:r>
      <w:r>
        <w:rPr>
          <w:vertAlign w:val="superscript"/>
        </w:rPr>
        <w:t>-1</w:t>
      </w:r>
      <w:r>
        <w:t xml:space="preserve"> day</w:t>
      </w:r>
      <w:r>
        <w:rPr>
          <w:vertAlign w:val="superscript"/>
        </w:rPr>
        <w:t>-1</w:t>
      </w:r>
      <w:r>
        <w:t xml:space="preserve">) as obtained from the BPLUT and </w:t>
      </w:r>
      <w:proofErr w:type="spellStart"/>
      <w:r>
        <w:t>Tavg</w:t>
      </w:r>
      <w:proofErr w:type="spellEnd"/>
      <w:r>
        <w:t xml:space="preserve"> is the average daily temperature (</w:t>
      </w:r>
      <w:r>
        <w:rPr>
          <w:rFonts w:ascii="Symbol" w:eastAsia="Symbol" w:hAnsi="Symbol" w:cs="Symbol"/>
        </w:rPr>
        <w:t></w:t>
      </w:r>
      <w:r>
        <w:t>C) as estimated from the GMAO/NASA meteorological data. Here, Q</w:t>
      </w:r>
      <w:r>
        <w:rPr>
          <w:vertAlign w:val="subscript"/>
        </w:rPr>
        <w:t>10</w:t>
      </w:r>
      <w:r>
        <w:t>_mr_leaf is a linear function of air temperature to account for the acclimation of Q</w:t>
      </w:r>
      <w:r>
        <w:rPr>
          <w:vertAlign w:val="subscript"/>
        </w:rPr>
        <w:t>10</w:t>
      </w:r>
      <w:r>
        <w:t xml:space="preserve"> to temperature (</w:t>
      </w:r>
      <w:proofErr w:type="spellStart"/>
      <w:r>
        <w:rPr>
          <w:bCs/>
          <w:szCs w:val="20"/>
        </w:rPr>
        <w:t>Tjoelker</w:t>
      </w:r>
      <w:proofErr w:type="spellEnd"/>
      <w:r>
        <w:rPr>
          <w:bCs/>
          <w:szCs w:val="20"/>
        </w:rPr>
        <w:t xml:space="preserve"> et al., 2001</w:t>
      </w:r>
      <w:r>
        <w:t>):</w:t>
      </w:r>
    </w:p>
    <w:p w14:paraId="6BD18F9B" w14:textId="77777777" w:rsidR="0078185C" w:rsidRDefault="0078185C">
      <w:pPr>
        <w:jc w:val="both"/>
      </w:pPr>
    </w:p>
    <w:p w14:paraId="2F75CAF0" w14:textId="4AF2D874" w:rsidR="0078185C" w:rsidRDefault="00000000">
      <w:pPr>
        <w:ind w:firstLine="720"/>
        <w:jc w:val="both"/>
      </w:pPr>
      <w:r>
        <w:t>Q</w:t>
      </w:r>
      <w:r>
        <w:rPr>
          <w:vertAlign w:val="subscript"/>
        </w:rPr>
        <w:t>10</w:t>
      </w:r>
      <w:r>
        <w:t xml:space="preserve">_mr_leaf = 3.22 – 0.046 * </w:t>
      </w:r>
      <w:proofErr w:type="spellStart"/>
      <w:r>
        <w:t>Tavg</w:t>
      </w:r>
      <w:proofErr w:type="spellEnd"/>
      <w:r w:rsidR="00BA6CDE">
        <w:tab/>
      </w:r>
      <w:r w:rsidR="00BA6CDE">
        <w:tab/>
      </w:r>
      <w:r w:rsidR="00BA6CDE">
        <w:tab/>
      </w:r>
      <w:r w:rsidR="00BA6CDE">
        <w:tab/>
      </w:r>
      <w:r w:rsidR="00BA6CDE">
        <w:tab/>
      </w:r>
      <w:r w:rsidR="00BA6CDE">
        <w:tab/>
      </w:r>
      <w:r w:rsidR="00BA6CDE">
        <w:tab/>
      </w:r>
      <w:r w:rsidR="00BA6CDE">
        <w:rPr>
          <w:b/>
          <w:bCs/>
        </w:rPr>
        <w:t>(1.7)</w:t>
      </w:r>
    </w:p>
    <w:p w14:paraId="238601FE" w14:textId="77777777" w:rsidR="0078185C" w:rsidRDefault="0078185C">
      <w:pPr>
        <w:jc w:val="both"/>
      </w:pPr>
    </w:p>
    <w:p w14:paraId="7D14660D" w14:textId="59AEC8B0" w:rsidR="0078185C" w:rsidRDefault="00000000">
      <w:pPr>
        <w:jc w:val="both"/>
      </w:pPr>
      <w:r>
        <w:t>The maintenance respiration of the fine-root mass (</w:t>
      </w:r>
      <w:proofErr w:type="spellStart"/>
      <w:r>
        <w:t>Froot_MR</w:t>
      </w:r>
      <w:proofErr w:type="spellEnd"/>
      <w:r>
        <w:t xml:space="preserve">, kg </w:t>
      </w:r>
      <w:proofErr w:type="gramStart"/>
      <w:r>
        <w:t>C day</w:t>
      </w:r>
      <w:proofErr w:type="gramEnd"/>
      <w:r>
        <w:rPr>
          <w:vertAlign w:val="superscript"/>
        </w:rPr>
        <w:t>-1</w:t>
      </w:r>
      <w:r>
        <w:t xml:space="preserve">) is calculated as: </w:t>
      </w:r>
    </w:p>
    <w:p w14:paraId="0F3CABC7" w14:textId="77777777" w:rsidR="0078185C" w:rsidRDefault="0078185C">
      <w:pPr>
        <w:jc w:val="both"/>
      </w:pPr>
    </w:p>
    <w:p w14:paraId="5B065737" w14:textId="3D77E5D2" w:rsidR="0078185C" w:rsidRDefault="00000000">
      <w:pPr>
        <w:ind w:firstLine="720"/>
        <w:jc w:val="both"/>
      </w:pPr>
      <w:proofErr w:type="spellStart"/>
      <w:r>
        <w:t>Froot_MR</w:t>
      </w:r>
      <w:proofErr w:type="spellEnd"/>
      <w:r>
        <w:t xml:space="preserve"> = </w:t>
      </w:r>
      <w:proofErr w:type="spellStart"/>
      <w:r>
        <w:t>Fine_Root_Mass</w:t>
      </w:r>
      <w:proofErr w:type="spellEnd"/>
      <w:r>
        <w:t xml:space="preserve"> * </w:t>
      </w:r>
      <w:proofErr w:type="spellStart"/>
      <w:r>
        <w:t>froot_mr_base</w:t>
      </w:r>
      <w:proofErr w:type="spellEnd"/>
      <w:r>
        <w:t xml:space="preserve"> * Q</w:t>
      </w:r>
      <w:r>
        <w:rPr>
          <w:vertAlign w:val="subscript"/>
        </w:rPr>
        <w:t>10</w:t>
      </w:r>
      <w:r>
        <w:t>_mr_froot</w:t>
      </w:r>
      <w:r>
        <w:rPr>
          <w:vertAlign w:val="superscript"/>
        </w:rPr>
        <w:t xml:space="preserve"> [(</w:t>
      </w:r>
      <w:proofErr w:type="spellStart"/>
      <w:r>
        <w:rPr>
          <w:vertAlign w:val="superscript"/>
        </w:rPr>
        <w:t>Tavg</w:t>
      </w:r>
      <w:proofErr w:type="spellEnd"/>
      <w:r>
        <w:rPr>
          <w:vertAlign w:val="superscript"/>
        </w:rPr>
        <w:t xml:space="preserve"> - 20.0) / 10.0] </w:t>
      </w:r>
      <w:r>
        <w:rPr>
          <w:b/>
          <w:bCs/>
        </w:rPr>
        <w:t xml:space="preserve">  </w:t>
      </w:r>
      <w:proofErr w:type="gramStart"/>
      <w:r>
        <w:rPr>
          <w:b/>
          <w:bCs/>
        </w:rPr>
        <w:t xml:space="preserve">   (</w:t>
      </w:r>
      <w:proofErr w:type="gramEnd"/>
      <w:r>
        <w:rPr>
          <w:b/>
          <w:bCs/>
        </w:rPr>
        <w:t>1.</w:t>
      </w:r>
      <w:r w:rsidR="00BA6CDE">
        <w:rPr>
          <w:b/>
          <w:bCs/>
        </w:rPr>
        <w:t>8</w:t>
      </w:r>
      <w:r>
        <w:rPr>
          <w:b/>
          <w:bCs/>
        </w:rPr>
        <w:t>)</w:t>
      </w:r>
    </w:p>
    <w:p w14:paraId="5B08B5D1" w14:textId="77777777" w:rsidR="0078185C" w:rsidRDefault="0078185C">
      <w:pPr>
        <w:jc w:val="both"/>
      </w:pPr>
    </w:p>
    <w:p w14:paraId="277A04A6" w14:textId="77777777" w:rsidR="0078185C" w:rsidRDefault="00000000">
      <w:pPr>
        <w:jc w:val="both"/>
      </w:pPr>
      <w:r>
        <w:t xml:space="preserve">where </w:t>
      </w:r>
      <w:proofErr w:type="spellStart"/>
      <w:r>
        <w:t>froot_mr_base</w:t>
      </w:r>
      <w:proofErr w:type="spellEnd"/>
      <w:r>
        <w:t xml:space="preserve"> is the maintenance respiration per unit of fine roots (kg C kg C</w:t>
      </w:r>
      <w:r>
        <w:rPr>
          <w:vertAlign w:val="superscript"/>
        </w:rPr>
        <w:t>-1</w:t>
      </w:r>
      <w:r>
        <w:t xml:space="preserve"> day</w:t>
      </w:r>
      <w:r>
        <w:rPr>
          <w:vertAlign w:val="superscript"/>
        </w:rPr>
        <w:t>-1</w:t>
      </w:r>
      <w:r>
        <w:t xml:space="preserve">) at 20 </w:t>
      </w:r>
      <w:r>
        <w:rPr>
          <w:rFonts w:ascii="Symbol" w:eastAsia="Symbol" w:hAnsi="Symbol" w:cs="Symbol"/>
        </w:rPr>
        <w:t></w:t>
      </w:r>
      <w:r>
        <w:t>C as obtained from the BPLUT. Q</w:t>
      </w:r>
      <w:r>
        <w:rPr>
          <w:vertAlign w:val="subscript"/>
        </w:rPr>
        <w:t>10</w:t>
      </w:r>
      <w:r>
        <w:t>_mr_froot is the Q</w:t>
      </w:r>
      <w:r>
        <w:rPr>
          <w:vertAlign w:val="subscript"/>
        </w:rPr>
        <w:t>10</w:t>
      </w:r>
      <w:r>
        <w:t xml:space="preserve"> value is fine root, obtained from BPLUT.</w:t>
      </w:r>
    </w:p>
    <w:p w14:paraId="16DEB4AB" w14:textId="77777777" w:rsidR="0078185C" w:rsidRDefault="0078185C">
      <w:pPr>
        <w:jc w:val="both"/>
      </w:pPr>
    </w:p>
    <w:p w14:paraId="4513D9F4" w14:textId="13817A8D" w:rsidR="0078185C" w:rsidRDefault="00000000">
      <w:pPr>
        <w:jc w:val="both"/>
      </w:pPr>
      <w:r>
        <w:t xml:space="preserve">Finally, </w:t>
      </w:r>
      <w:proofErr w:type="spellStart"/>
      <w:r>
        <w:t>PSN</w:t>
      </w:r>
      <w:r w:rsidRPr="00977C54">
        <w:rPr>
          <w:vertAlign w:val="subscript"/>
        </w:rPr>
        <w:t>net</w:t>
      </w:r>
      <w:proofErr w:type="spellEnd"/>
      <w:r>
        <w:t xml:space="preserve"> (kg </w:t>
      </w:r>
      <w:proofErr w:type="gramStart"/>
      <w:r>
        <w:t>C day</w:t>
      </w:r>
      <w:proofErr w:type="gramEnd"/>
      <w:r>
        <w:rPr>
          <w:vertAlign w:val="superscript"/>
        </w:rPr>
        <w:t>-1</w:t>
      </w:r>
      <w:r>
        <w:t>) can be calculated from GPP (Equation 1.2) and maintenance respiration (Equations 1.6, 1.</w:t>
      </w:r>
      <w:r w:rsidR="00BA6CDE">
        <w:t>8</w:t>
      </w:r>
      <w:r>
        <w:t>) as:</w:t>
      </w:r>
    </w:p>
    <w:p w14:paraId="0AD9C6F4" w14:textId="77777777" w:rsidR="0078185C" w:rsidRDefault="0078185C">
      <w:pPr>
        <w:jc w:val="both"/>
      </w:pPr>
    </w:p>
    <w:p w14:paraId="455BCED2" w14:textId="2EA2B0A6" w:rsidR="0078185C" w:rsidRDefault="00000000">
      <w:pPr>
        <w:ind w:firstLine="720"/>
        <w:jc w:val="both"/>
      </w:pPr>
      <w:proofErr w:type="spellStart"/>
      <w:r>
        <w:t>PSNnet</w:t>
      </w:r>
      <w:proofErr w:type="spellEnd"/>
      <w:r>
        <w:t xml:space="preserve"> = GPP – </w:t>
      </w:r>
      <w:proofErr w:type="spellStart"/>
      <w:r>
        <w:t>Leaf_MR</w:t>
      </w:r>
      <w:proofErr w:type="spellEnd"/>
      <w:r>
        <w:t xml:space="preserve"> - </w:t>
      </w:r>
      <w:proofErr w:type="spellStart"/>
      <w:r>
        <w:t>Froot_MR</w:t>
      </w:r>
      <w:proofErr w:type="spellEnd"/>
      <w:r>
        <w:tab/>
      </w:r>
      <w:r>
        <w:tab/>
      </w:r>
      <w:r>
        <w:tab/>
      </w:r>
      <w:r>
        <w:tab/>
      </w:r>
      <w:r>
        <w:tab/>
      </w:r>
      <w:r>
        <w:tab/>
      </w:r>
      <w:r>
        <w:rPr>
          <w:b/>
          <w:bCs/>
        </w:rPr>
        <w:t>(1.</w:t>
      </w:r>
      <w:r w:rsidR="00BA6CDE">
        <w:rPr>
          <w:b/>
          <w:bCs/>
        </w:rPr>
        <w:t>9</w:t>
      </w:r>
      <w:r>
        <w:rPr>
          <w:b/>
          <w:bCs/>
        </w:rPr>
        <w:t>)</w:t>
      </w:r>
    </w:p>
    <w:p w14:paraId="4B1F511A" w14:textId="77777777" w:rsidR="0078185C" w:rsidRDefault="0078185C">
      <w:pPr>
        <w:jc w:val="both"/>
      </w:pPr>
    </w:p>
    <w:p w14:paraId="051E9975" w14:textId="77777777" w:rsidR="0078185C" w:rsidRDefault="00000000">
      <w:pPr>
        <w:jc w:val="both"/>
      </w:pPr>
      <w:r>
        <w:t xml:space="preserve">As with GPP, </w:t>
      </w:r>
      <w:proofErr w:type="spellStart"/>
      <w:r>
        <w:t>PSN</w:t>
      </w:r>
      <w:r w:rsidRPr="00977C54">
        <w:rPr>
          <w:vertAlign w:val="subscript"/>
        </w:rPr>
        <w:t>net</w:t>
      </w:r>
      <w:proofErr w:type="spellEnd"/>
      <w:r>
        <w:t xml:space="preserve"> is summed over an 8-day period.  </w:t>
      </w:r>
    </w:p>
    <w:p w14:paraId="65F9C3DC" w14:textId="77777777" w:rsidR="0078185C" w:rsidRDefault="0078185C">
      <w:pPr>
        <w:jc w:val="both"/>
        <w:rPr>
          <w:b/>
          <w:bCs/>
          <w:i/>
          <w:iCs/>
        </w:rPr>
      </w:pPr>
    </w:p>
    <w:p w14:paraId="0A6959E7" w14:textId="135E503D" w:rsidR="0078185C" w:rsidRDefault="6CEBCEED">
      <w:pPr>
        <w:jc w:val="both"/>
      </w:pPr>
      <w:r w:rsidRPr="6CEBCEED">
        <w:rPr>
          <w:rFonts w:ascii="Webdings" w:eastAsia="Webdings" w:hAnsi="Webdings" w:cs="Webdings"/>
        </w:rPr>
        <w:t></w:t>
      </w:r>
      <w:r>
        <w:t xml:space="preserve">  </w:t>
      </w:r>
      <w:r w:rsidRPr="6CEBCEED">
        <w:rPr>
          <w:i/>
          <w:iCs/>
        </w:rPr>
        <w:t xml:space="preserve"> This product does not include the maintenance respiration associated with live wood (</w:t>
      </w:r>
      <w:proofErr w:type="spellStart"/>
      <w:r w:rsidRPr="6CEBCEED">
        <w:rPr>
          <w:i/>
          <w:iCs/>
        </w:rPr>
        <w:t>Livewood_MR</w:t>
      </w:r>
      <w:proofErr w:type="spellEnd"/>
      <w:r w:rsidRPr="6CEBCEED">
        <w:rPr>
          <w:i/>
          <w:iCs/>
        </w:rPr>
        <w:t xml:space="preserve">), nor does it include growth respiration (GR). The </w:t>
      </w:r>
      <w:proofErr w:type="spellStart"/>
      <w:r w:rsidRPr="6CEBCEED">
        <w:rPr>
          <w:i/>
          <w:iCs/>
        </w:rPr>
        <w:t>Livewood_MR</w:t>
      </w:r>
      <w:proofErr w:type="spellEnd"/>
      <w:r w:rsidRPr="6CEBCEED">
        <w:rPr>
          <w:i/>
          <w:iCs/>
        </w:rPr>
        <w:t xml:space="preserve"> and GR are instead calculated at the end of the year for the annual VNP17A3</w:t>
      </w:r>
      <w:r w:rsidR="000724E7">
        <w:rPr>
          <w:i/>
          <w:iCs/>
        </w:rPr>
        <w:t>GF</w:t>
      </w:r>
      <w:r w:rsidRPr="6CEBCEED">
        <w:rPr>
          <w:i/>
          <w:iCs/>
        </w:rPr>
        <w:t xml:space="preserve"> total NPP data product as detailed below.</w:t>
      </w:r>
    </w:p>
    <w:p w14:paraId="6EBCB661" w14:textId="77777777" w:rsidR="0078185C" w:rsidRDefault="00000000">
      <w:pPr>
        <w:pStyle w:val="Heading3"/>
        <w:jc w:val="left"/>
      </w:pPr>
      <w:bookmarkStart w:id="9" w:name="_Toc181041980"/>
      <w:r>
        <w:lastRenderedPageBreak/>
        <w:t>1.3.3. Annual live wood maintenance respiration</w:t>
      </w:r>
      <w:bookmarkEnd w:id="9"/>
    </w:p>
    <w:p w14:paraId="5023141B" w14:textId="77777777" w:rsidR="0078185C" w:rsidRDefault="0078185C">
      <w:pPr>
        <w:ind w:firstLine="720"/>
        <w:jc w:val="both"/>
        <w:rPr>
          <w:b/>
          <w:bCs/>
        </w:rPr>
      </w:pPr>
    </w:p>
    <w:p w14:paraId="557CA3C2" w14:textId="2135831B" w:rsidR="0078185C" w:rsidRDefault="00000000">
      <w:pPr>
        <w:ind w:firstLine="720"/>
        <w:jc w:val="both"/>
        <w:rPr>
          <w:bCs/>
        </w:rPr>
      </w:pPr>
      <w:r>
        <w:rPr>
          <w:bCs/>
        </w:rPr>
        <w:t>Given a calendar-</w:t>
      </w:r>
      <w:r w:rsidR="007F0466">
        <w:rPr>
          <w:bCs/>
        </w:rPr>
        <w:t>years’ worth</w:t>
      </w:r>
      <w:r>
        <w:rPr>
          <w:bCs/>
        </w:rPr>
        <w:t xml:space="preserve"> of outputs from the daily algorithm, the annual algorithm (Figure 1.</w:t>
      </w:r>
      <w:r w:rsidR="00761723">
        <w:rPr>
          <w:bCs/>
        </w:rPr>
        <w:t>2</w:t>
      </w:r>
      <w:r>
        <w:rPr>
          <w:bCs/>
        </w:rPr>
        <w:t xml:space="preserve">, lower flowchart) estimates annual NPP by first calculating live woody tissue maintenance respiration, and then estimating growth respiration costs for leaves, fine roots, and woody tissue using values defined in Table 1.3. Finally, these components are subtracted from the accumulated daily </w:t>
      </w:r>
      <w:proofErr w:type="spellStart"/>
      <w:r>
        <w:rPr>
          <w:bCs/>
        </w:rPr>
        <w:t>PSN</w:t>
      </w:r>
      <w:r>
        <w:rPr>
          <w:bCs/>
          <w:vertAlign w:val="subscript"/>
        </w:rPr>
        <w:t>net</w:t>
      </w:r>
      <w:proofErr w:type="spellEnd"/>
      <w:r>
        <w:rPr>
          <w:bCs/>
        </w:rPr>
        <w:t xml:space="preserve"> to produce an estimate of annual NPP.</w:t>
      </w:r>
    </w:p>
    <w:p w14:paraId="1F3B1409" w14:textId="77777777" w:rsidR="0078185C" w:rsidRDefault="0078185C">
      <w:pPr>
        <w:ind w:firstLine="720"/>
        <w:jc w:val="both"/>
      </w:pPr>
    </w:p>
    <w:p w14:paraId="4C5170B6" w14:textId="77777777" w:rsidR="0078185C" w:rsidRDefault="00000000">
      <w:pPr>
        <w:jc w:val="both"/>
        <w:rPr>
          <w:b/>
          <w:i/>
        </w:rPr>
      </w:pPr>
      <w:r>
        <w:rPr>
          <w:b/>
          <w:bCs/>
          <w:i/>
        </w:rPr>
        <w:t xml:space="preserve">Table 1.3. </w:t>
      </w:r>
      <w:r>
        <w:rPr>
          <w:i/>
        </w:rPr>
        <w:t>BPLUT parameters for annual maintenance respiration. Growth respiration is calculated as 25% of annual NPP.</w:t>
      </w:r>
    </w:p>
    <w:tbl>
      <w:tblPr>
        <w:tblW w:w="9108" w:type="dxa"/>
        <w:tblLook w:val="0000" w:firstRow="0" w:lastRow="0" w:firstColumn="0" w:lastColumn="0" w:noHBand="0" w:noVBand="0"/>
      </w:tblPr>
      <w:tblGrid>
        <w:gridCol w:w="2792"/>
        <w:gridCol w:w="2057"/>
        <w:gridCol w:w="4259"/>
      </w:tblGrid>
      <w:tr w:rsidR="0078185C" w14:paraId="52AA7985" w14:textId="77777777">
        <w:tc>
          <w:tcPr>
            <w:tcW w:w="2792" w:type="dxa"/>
            <w:tcBorders>
              <w:top w:val="single" w:sz="4" w:space="0" w:color="000000"/>
              <w:left w:val="single" w:sz="4" w:space="0" w:color="000000"/>
              <w:bottom w:val="double" w:sz="4" w:space="0" w:color="000000"/>
              <w:right w:val="single" w:sz="4" w:space="0" w:color="000000"/>
            </w:tcBorders>
          </w:tcPr>
          <w:p w14:paraId="0760C8C5" w14:textId="77777777" w:rsidR="0078185C" w:rsidRDefault="00000000">
            <w:pPr>
              <w:jc w:val="both"/>
              <w:rPr>
                <w:b/>
                <w:bCs/>
              </w:rPr>
            </w:pPr>
            <w:r>
              <w:rPr>
                <w:b/>
                <w:bCs/>
              </w:rPr>
              <w:t>Parameter</w:t>
            </w:r>
          </w:p>
        </w:tc>
        <w:tc>
          <w:tcPr>
            <w:tcW w:w="2057" w:type="dxa"/>
            <w:tcBorders>
              <w:top w:val="single" w:sz="4" w:space="0" w:color="000000"/>
              <w:left w:val="single" w:sz="4" w:space="0" w:color="000000"/>
              <w:bottom w:val="double" w:sz="4" w:space="0" w:color="000000"/>
              <w:right w:val="single" w:sz="4" w:space="0" w:color="000000"/>
            </w:tcBorders>
          </w:tcPr>
          <w:p w14:paraId="289A20BC" w14:textId="77777777" w:rsidR="0078185C" w:rsidRDefault="00000000">
            <w:pPr>
              <w:jc w:val="both"/>
              <w:rPr>
                <w:b/>
                <w:bCs/>
              </w:rPr>
            </w:pPr>
            <w:r>
              <w:rPr>
                <w:b/>
                <w:bCs/>
              </w:rPr>
              <w:t>Units</w:t>
            </w:r>
          </w:p>
        </w:tc>
        <w:tc>
          <w:tcPr>
            <w:tcW w:w="4259" w:type="dxa"/>
            <w:tcBorders>
              <w:top w:val="single" w:sz="4" w:space="0" w:color="000000"/>
              <w:left w:val="single" w:sz="4" w:space="0" w:color="000000"/>
              <w:bottom w:val="double" w:sz="4" w:space="0" w:color="000000"/>
              <w:right w:val="single" w:sz="4" w:space="0" w:color="000000"/>
            </w:tcBorders>
          </w:tcPr>
          <w:p w14:paraId="513D93E2" w14:textId="77777777" w:rsidR="0078185C" w:rsidRDefault="00000000">
            <w:pPr>
              <w:jc w:val="both"/>
              <w:rPr>
                <w:b/>
                <w:bCs/>
              </w:rPr>
            </w:pPr>
            <w:r>
              <w:rPr>
                <w:b/>
                <w:bCs/>
              </w:rPr>
              <w:t>Description</w:t>
            </w:r>
          </w:p>
        </w:tc>
      </w:tr>
      <w:tr w:rsidR="0078185C" w14:paraId="5C904540" w14:textId="77777777">
        <w:tc>
          <w:tcPr>
            <w:tcW w:w="2792" w:type="dxa"/>
            <w:tcBorders>
              <w:top w:val="double" w:sz="4" w:space="0" w:color="000000"/>
              <w:left w:val="single" w:sz="4" w:space="0" w:color="000000"/>
              <w:bottom w:val="single" w:sz="4" w:space="0" w:color="000000"/>
              <w:right w:val="single" w:sz="4" w:space="0" w:color="000000"/>
            </w:tcBorders>
          </w:tcPr>
          <w:p w14:paraId="0EEB5A4D" w14:textId="77777777" w:rsidR="0078185C" w:rsidRDefault="00000000">
            <w:pPr>
              <w:jc w:val="both"/>
            </w:pPr>
            <w:proofErr w:type="spellStart"/>
            <w:r>
              <w:t>livewood_leaf_ratio</w:t>
            </w:r>
            <w:proofErr w:type="spellEnd"/>
          </w:p>
        </w:tc>
        <w:tc>
          <w:tcPr>
            <w:tcW w:w="2057" w:type="dxa"/>
            <w:tcBorders>
              <w:top w:val="double" w:sz="4" w:space="0" w:color="000000"/>
              <w:left w:val="single" w:sz="4" w:space="0" w:color="000000"/>
              <w:bottom w:val="single" w:sz="4" w:space="0" w:color="000000"/>
              <w:right w:val="single" w:sz="4" w:space="0" w:color="000000"/>
            </w:tcBorders>
          </w:tcPr>
          <w:p w14:paraId="729EF84A" w14:textId="77777777" w:rsidR="0078185C" w:rsidRDefault="00000000">
            <w:pPr>
              <w:jc w:val="both"/>
            </w:pPr>
            <w:r>
              <w:t>None</w:t>
            </w:r>
          </w:p>
        </w:tc>
        <w:tc>
          <w:tcPr>
            <w:tcW w:w="4259" w:type="dxa"/>
            <w:tcBorders>
              <w:top w:val="double" w:sz="4" w:space="0" w:color="000000"/>
              <w:left w:val="single" w:sz="4" w:space="0" w:color="000000"/>
              <w:bottom w:val="single" w:sz="4" w:space="0" w:color="000000"/>
              <w:right w:val="single" w:sz="4" w:space="0" w:color="000000"/>
            </w:tcBorders>
          </w:tcPr>
          <w:p w14:paraId="5A49BE81" w14:textId="77777777" w:rsidR="0078185C" w:rsidRDefault="00000000">
            <w:pPr>
              <w:jc w:val="both"/>
            </w:pPr>
            <w:r>
              <w:t>Ratio of live wood carbon to annual maximum leaf carbon</w:t>
            </w:r>
          </w:p>
        </w:tc>
      </w:tr>
      <w:tr w:rsidR="0078185C" w14:paraId="75FC6775" w14:textId="77777777">
        <w:tc>
          <w:tcPr>
            <w:tcW w:w="2792" w:type="dxa"/>
            <w:tcBorders>
              <w:top w:val="single" w:sz="4" w:space="0" w:color="000000"/>
              <w:left w:val="single" w:sz="4" w:space="0" w:color="000000"/>
              <w:bottom w:val="single" w:sz="4" w:space="0" w:color="000000"/>
              <w:right w:val="single" w:sz="4" w:space="0" w:color="000000"/>
            </w:tcBorders>
          </w:tcPr>
          <w:p w14:paraId="530A61A7" w14:textId="77777777" w:rsidR="0078185C" w:rsidRDefault="00000000">
            <w:pPr>
              <w:jc w:val="both"/>
            </w:pPr>
            <w:proofErr w:type="spellStart"/>
            <w:r>
              <w:t>livewood_mr_base</w:t>
            </w:r>
            <w:proofErr w:type="spellEnd"/>
          </w:p>
        </w:tc>
        <w:tc>
          <w:tcPr>
            <w:tcW w:w="2057" w:type="dxa"/>
            <w:tcBorders>
              <w:top w:val="single" w:sz="4" w:space="0" w:color="000000"/>
              <w:left w:val="single" w:sz="4" w:space="0" w:color="000000"/>
              <w:bottom w:val="single" w:sz="4" w:space="0" w:color="000000"/>
              <w:right w:val="single" w:sz="4" w:space="0" w:color="000000"/>
            </w:tcBorders>
          </w:tcPr>
          <w:p w14:paraId="5300422F" w14:textId="77777777" w:rsidR="0078185C" w:rsidRDefault="00000000">
            <w:pPr>
              <w:jc w:val="both"/>
            </w:pPr>
            <w:r>
              <w:t>(kg C kg C</w:t>
            </w:r>
            <w:r>
              <w:rPr>
                <w:vertAlign w:val="superscript"/>
              </w:rPr>
              <w:t>-1</w:t>
            </w:r>
            <w:r>
              <w:t xml:space="preserve"> day</w:t>
            </w:r>
            <w:r>
              <w:rPr>
                <w:vertAlign w:val="superscript"/>
              </w:rPr>
              <w:t>-1</w:t>
            </w:r>
            <w:r>
              <w:t>)</w:t>
            </w:r>
          </w:p>
        </w:tc>
        <w:tc>
          <w:tcPr>
            <w:tcW w:w="4259" w:type="dxa"/>
            <w:tcBorders>
              <w:top w:val="single" w:sz="4" w:space="0" w:color="000000"/>
              <w:left w:val="single" w:sz="4" w:space="0" w:color="000000"/>
              <w:bottom w:val="single" w:sz="4" w:space="0" w:color="000000"/>
              <w:right w:val="single" w:sz="4" w:space="0" w:color="000000"/>
            </w:tcBorders>
          </w:tcPr>
          <w:p w14:paraId="61EC4114" w14:textId="77777777" w:rsidR="0078185C" w:rsidRDefault="00000000">
            <w:pPr>
              <w:jc w:val="both"/>
            </w:pPr>
            <w:r>
              <w:t xml:space="preserve">Maintenance respiration per unit live wood carbon per day at 20 </w:t>
            </w:r>
            <w:r>
              <w:rPr>
                <w:rFonts w:ascii="Symbol" w:eastAsia="Symbol" w:hAnsi="Symbol" w:cs="Symbol"/>
              </w:rPr>
              <w:t></w:t>
            </w:r>
            <w:r>
              <w:t>C</w:t>
            </w:r>
          </w:p>
        </w:tc>
      </w:tr>
      <w:tr w:rsidR="0078185C" w14:paraId="4CB85F80" w14:textId="77777777">
        <w:tc>
          <w:tcPr>
            <w:tcW w:w="2792" w:type="dxa"/>
            <w:tcBorders>
              <w:top w:val="single" w:sz="4" w:space="0" w:color="000000"/>
              <w:left w:val="single" w:sz="4" w:space="0" w:color="000000"/>
              <w:bottom w:val="single" w:sz="4" w:space="0" w:color="000000"/>
              <w:right w:val="single" w:sz="4" w:space="0" w:color="000000"/>
            </w:tcBorders>
          </w:tcPr>
          <w:p w14:paraId="2DC2D78F" w14:textId="77777777" w:rsidR="0078185C" w:rsidRDefault="00000000">
            <w:pPr>
              <w:jc w:val="both"/>
            </w:pPr>
            <w:r>
              <w:t>Q</w:t>
            </w:r>
            <w:r>
              <w:rPr>
                <w:vertAlign w:val="subscript"/>
              </w:rPr>
              <w:t>10</w:t>
            </w:r>
            <w:r>
              <w:t>_mr_livewood</w:t>
            </w:r>
          </w:p>
        </w:tc>
        <w:tc>
          <w:tcPr>
            <w:tcW w:w="2057" w:type="dxa"/>
            <w:tcBorders>
              <w:top w:val="single" w:sz="4" w:space="0" w:color="000000"/>
              <w:left w:val="single" w:sz="4" w:space="0" w:color="000000"/>
              <w:bottom w:val="single" w:sz="4" w:space="0" w:color="000000"/>
              <w:right w:val="single" w:sz="4" w:space="0" w:color="000000"/>
            </w:tcBorders>
          </w:tcPr>
          <w:p w14:paraId="52360E55" w14:textId="77777777" w:rsidR="0078185C" w:rsidRDefault="00000000">
            <w:pPr>
              <w:jc w:val="both"/>
            </w:pPr>
            <w:r>
              <w:t>None</w:t>
            </w:r>
          </w:p>
        </w:tc>
        <w:tc>
          <w:tcPr>
            <w:tcW w:w="4259" w:type="dxa"/>
            <w:tcBorders>
              <w:top w:val="single" w:sz="4" w:space="0" w:color="000000"/>
              <w:left w:val="single" w:sz="4" w:space="0" w:color="000000"/>
              <w:bottom w:val="single" w:sz="4" w:space="0" w:color="000000"/>
              <w:right w:val="single" w:sz="4" w:space="0" w:color="000000"/>
            </w:tcBorders>
          </w:tcPr>
          <w:p w14:paraId="0C7A67A0" w14:textId="77777777" w:rsidR="0078185C" w:rsidRDefault="00000000">
            <w:pPr>
              <w:jc w:val="both"/>
            </w:pPr>
            <w:r>
              <w:t>Exponent shape parameter controlling respiration as a function of temperature for live wood</w:t>
            </w:r>
          </w:p>
        </w:tc>
      </w:tr>
    </w:tbl>
    <w:p w14:paraId="562C75D1" w14:textId="77777777" w:rsidR="0078185C" w:rsidRDefault="0078185C">
      <w:pPr>
        <w:jc w:val="both"/>
      </w:pPr>
    </w:p>
    <w:p w14:paraId="34F4D1AD" w14:textId="7E5B3511" w:rsidR="0078185C" w:rsidRDefault="00000000">
      <w:pPr>
        <w:ind w:firstLine="720"/>
        <w:jc w:val="both"/>
      </w:pPr>
      <w:r>
        <w:t>Annual maximum leaf mass, the maximum value of daily leaf mass, is the primary input for live wood maintenance respiration (</w:t>
      </w:r>
      <w:proofErr w:type="spellStart"/>
      <w:r>
        <w:t>Livewood_MR</w:t>
      </w:r>
      <w:proofErr w:type="spellEnd"/>
      <w:r>
        <w:t xml:space="preserve">). To account for </w:t>
      </w:r>
      <w:proofErr w:type="spellStart"/>
      <w:r>
        <w:t>Livewood_MR</w:t>
      </w:r>
      <w:proofErr w:type="spellEnd"/>
      <w:r>
        <w:t xml:space="preserve">, it is assumed that the amount of live woody tissue is (1) constant throughout the year, and (2) related to annual maximum leaf mass. Once the live woody tissue mass has been determined, it can be used to estimate total annual </w:t>
      </w:r>
      <w:proofErr w:type="spellStart"/>
      <w:r>
        <w:t>livewood</w:t>
      </w:r>
      <w:proofErr w:type="spellEnd"/>
      <w:r>
        <w:t xml:space="preserve"> maintenance respiration. This approach relies on empirical studies relating the annual growth of leaves to the annual growth of other plant tissues. The compilation study by </w:t>
      </w:r>
      <w:proofErr w:type="spellStart"/>
      <w:r>
        <w:t>Cannell</w:t>
      </w:r>
      <w:proofErr w:type="spellEnd"/>
      <w:r>
        <w:t xml:space="preserve"> </w:t>
      </w:r>
      <w:r>
        <w:fldChar w:fldCharType="begin"/>
      </w:r>
      <w:r>
        <w:instrText>ADDIN ENRfu</w:instrText>
      </w:r>
      <w:r>
        <w:fldChar w:fldCharType="separate"/>
      </w:r>
      <w:r>
        <w:t>(1982)</w:t>
      </w:r>
      <w:r>
        <w:fldChar w:fldCharType="end"/>
      </w:r>
      <w:r>
        <w:t xml:space="preserve"> is an excellent resource, providing the basis for many of the relationships developed for this portion of the MOD17 and VNP17 algorithms and tested with the BIOME-BGC ecosystem processes model. For the growth respiration of leaf, fine </w:t>
      </w:r>
      <w:r w:rsidR="00852794">
        <w:t>roots,</w:t>
      </w:r>
      <w:r>
        <w:t xml:space="preserve"> and live wood, we assume that growth respiration is about 25% of NPP (</w:t>
      </w:r>
      <w:proofErr w:type="spellStart"/>
      <w:r>
        <w:rPr>
          <w:szCs w:val="20"/>
        </w:rPr>
        <w:t>Cannell</w:t>
      </w:r>
      <w:proofErr w:type="spellEnd"/>
      <w:r>
        <w:rPr>
          <w:szCs w:val="20"/>
        </w:rPr>
        <w:t xml:space="preserve"> and Thornley, 2000; Ryan, 1991</w:t>
      </w:r>
      <w:r>
        <w:t>), which is detailed in the next section.</w:t>
      </w:r>
    </w:p>
    <w:p w14:paraId="5C62461F" w14:textId="6D327D99" w:rsidR="0078185C" w:rsidRDefault="00000000">
      <w:pPr>
        <w:ind w:firstLine="720"/>
        <w:jc w:val="both"/>
      </w:pPr>
      <w:r>
        <w:t xml:space="preserve">To create the annual NPP term, the </w:t>
      </w:r>
      <w:r w:rsidR="00E47BCE">
        <w:t>VNP17</w:t>
      </w:r>
      <w:r>
        <w:t xml:space="preserve"> algorithm maintains a series of daily, pixel-wise terms to appropriately account for plant respiration. To determine </w:t>
      </w:r>
      <w:proofErr w:type="spellStart"/>
      <w:r>
        <w:t>livewood</w:t>
      </w:r>
      <w:proofErr w:type="spellEnd"/>
      <w:r>
        <w:t xml:space="preserve"> maintenance respiration, the </w:t>
      </w:r>
      <w:proofErr w:type="spellStart"/>
      <w:r>
        <w:t>livewood</w:t>
      </w:r>
      <w:proofErr w:type="spellEnd"/>
      <w:r>
        <w:t xml:space="preserve"> mass (</w:t>
      </w:r>
      <w:proofErr w:type="spellStart"/>
      <w:r>
        <w:t>Livewood_Mass</w:t>
      </w:r>
      <w:proofErr w:type="spellEnd"/>
      <w:r>
        <w:t xml:space="preserve">, kg C) is calculated as: </w:t>
      </w:r>
    </w:p>
    <w:p w14:paraId="664355AD" w14:textId="77777777" w:rsidR="0078185C" w:rsidRDefault="0078185C">
      <w:pPr>
        <w:jc w:val="both"/>
      </w:pPr>
    </w:p>
    <w:p w14:paraId="7A4923E3" w14:textId="448A9EE9" w:rsidR="0078185C" w:rsidRDefault="00000000">
      <w:pPr>
        <w:ind w:firstLine="720"/>
        <w:jc w:val="both"/>
      </w:pPr>
      <w:proofErr w:type="spellStart"/>
      <w:r>
        <w:t>Livewood_Mass</w:t>
      </w:r>
      <w:proofErr w:type="spellEnd"/>
      <w:r>
        <w:t xml:space="preserve"> = </w:t>
      </w:r>
      <w:proofErr w:type="spellStart"/>
      <w:r>
        <w:t>ann_leaf_mass_max</w:t>
      </w:r>
      <w:proofErr w:type="spellEnd"/>
      <w:r>
        <w:t xml:space="preserve"> * </w:t>
      </w:r>
      <w:proofErr w:type="spellStart"/>
      <w:r>
        <w:t>livewood_leaf_ratio</w:t>
      </w:r>
      <w:proofErr w:type="spellEnd"/>
      <w:r>
        <w:tab/>
      </w:r>
      <w:r>
        <w:tab/>
      </w:r>
      <w:r>
        <w:tab/>
      </w:r>
      <w:r>
        <w:rPr>
          <w:b/>
          <w:bCs/>
        </w:rPr>
        <w:t>(1.</w:t>
      </w:r>
      <w:r w:rsidR="00BA6CDE">
        <w:rPr>
          <w:b/>
          <w:bCs/>
        </w:rPr>
        <w:t>10</w:t>
      </w:r>
      <w:r>
        <w:rPr>
          <w:b/>
          <w:bCs/>
        </w:rPr>
        <w:t>)</w:t>
      </w:r>
    </w:p>
    <w:p w14:paraId="1A965116" w14:textId="77777777" w:rsidR="0078185C" w:rsidRDefault="0078185C">
      <w:pPr>
        <w:jc w:val="both"/>
      </w:pPr>
    </w:p>
    <w:p w14:paraId="7DF4E37C" w14:textId="65BDE0B4" w:rsidR="0078185C" w:rsidRDefault="00000000">
      <w:pPr>
        <w:jc w:val="both"/>
      </w:pPr>
      <w:r>
        <w:t xml:space="preserve">where </w:t>
      </w:r>
      <w:proofErr w:type="spellStart"/>
      <w:r>
        <w:t>ann_leaf_mass_max</w:t>
      </w:r>
      <w:proofErr w:type="spellEnd"/>
      <w:r>
        <w:t xml:space="preserve"> is the annual maximum leaf mass for a given pixel (kg C) obtained from the daily </w:t>
      </w:r>
      <w:proofErr w:type="spellStart"/>
      <w:r>
        <w:t>Leaf_Mass</w:t>
      </w:r>
      <w:proofErr w:type="spellEnd"/>
      <w:r>
        <w:t xml:space="preserve"> calculation (Equation 1.4). The </w:t>
      </w:r>
      <w:proofErr w:type="spellStart"/>
      <w:r>
        <w:t>livewood_leaf_ratio</w:t>
      </w:r>
      <w:proofErr w:type="spellEnd"/>
      <w:r>
        <w:t xml:space="preserve"> is the ratio of </w:t>
      </w:r>
      <w:proofErr w:type="spellStart"/>
      <w:r>
        <w:t>livewood</w:t>
      </w:r>
      <w:proofErr w:type="spellEnd"/>
      <w:r>
        <w:t xml:space="preserve"> mass to leaf mass (unitless</w:t>
      </w:r>
      <w:r w:rsidR="00E47BCE">
        <w:t>) and</w:t>
      </w:r>
      <w:r>
        <w:t xml:space="preserve"> is obtained from the BPLUT.  </w:t>
      </w:r>
    </w:p>
    <w:p w14:paraId="35AF1B00" w14:textId="406236D4" w:rsidR="0078185C" w:rsidRDefault="00000000">
      <w:pPr>
        <w:tabs>
          <w:tab w:val="left" w:pos="718"/>
        </w:tabs>
        <w:ind w:firstLine="720"/>
        <w:jc w:val="both"/>
      </w:pPr>
      <w:r>
        <w:t xml:space="preserve">Once the mass of </w:t>
      </w:r>
      <w:proofErr w:type="spellStart"/>
      <w:r>
        <w:t>livewood</w:t>
      </w:r>
      <w:proofErr w:type="spellEnd"/>
      <w:r>
        <w:t xml:space="preserve"> has been determined, it is possible to calculate the associated maintenance respiration (</w:t>
      </w:r>
      <w:proofErr w:type="spellStart"/>
      <w:r>
        <w:t>Livewood_MR</w:t>
      </w:r>
      <w:proofErr w:type="spellEnd"/>
      <w:r>
        <w:t xml:space="preserve">, kg </w:t>
      </w:r>
      <w:proofErr w:type="gramStart"/>
      <w:r>
        <w:t>C day</w:t>
      </w:r>
      <w:proofErr w:type="gramEnd"/>
      <w:r>
        <w:rPr>
          <w:vertAlign w:val="superscript"/>
        </w:rPr>
        <w:t>-1</w:t>
      </w:r>
      <w:r>
        <w:t>) as:</w:t>
      </w:r>
    </w:p>
    <w:p w14:paraId="44FB30F8" w14:textId="77777777" w:rsidR="0078185C" w:rsidRDefault="0078185C">
      <w:pPr>
        <w:jc w:val="both"/>
      </w:pPr>
    </w:p>
    <w:p w14:paraId="73D80825" w14:textId="1BC00C37" w:rsidR="0078185C" w:rsidRDefault="00000000">
      <w:pPr>
        <w:ind w:firstLine="720"/>
        <w:jc w:val="both"/>
      </w:pPr>
      <w:proofErr w:type="spellStart"/>
      <w:r>
        <w:t>Livewood_MR</w:t>
      </w:r>
      <w:proofErr w:type="spellEnd"/>
      <w:r>
        <w:t xml:space="preserve"> = </w:t>
      </w:r>
      <w:proofErr w:type="spellStart"/>
      <w:r>
        <w:t>Livewood_Mass</w:t>
      </w:r>
      <w:proofErr w:type="spellEnd"/>
      <w:r>
        <w:t xml:space="preserve"> * </w:t>
      </w:r>
      <w:proofErr w:type="spellStart"/>
      <w:r>
        <w:t>livewood_mr_base</w:t>
      </w:r>
      <w:proofErr w:type="spellEnd"/>
      <w:r>
        <w:t xml:space="preserve"> * </w:t>
      </w:r>
      <w:proofErr w:type="spellStart"/>
      <w:r>
        <w:t>annsum_mrindex</w:t>
      </w:r>
      <w:proofErr w:type="spellEnd"/>
      <w:r>
        <w:tab/>
      </w:r>
      <w:r>
        <w:rPr>
          <w:b/>
          <w:bCs/>
        </w:rPr>
        <w:t>(1.1</w:t>
      </w:r>
      <w:r w:rsidR="00BA6CDE">
        <w:rPr>
          <w:b/>
          <w:bCs/>
        </w:rPr>
        <w:t>1</w:t>
      </w:r>
      <w:r>
        <w:rPr>
          <w:b/>
          <w:bCs/>
        </w:rPr>
        <w:t>)</w:t>
      </w:r>
    </w:p>
    <w:p w14:paraId="1DA6542E" w14:textId="77777777" w:rsidR="0078185C" w:rsidRDefault="0078185C">
      <w:pPr>
        <w:jc w:val="both"/>
      </w:pPr>
    </w:p>
    <w:p w14:paraId="3041E394" w14:textId="37267DDC" w:rsidR="0078185C" w:rsidRDefault="6CEBCEED">
      <w:pPr>
        <w:jc w:val="both"/>
      </w:pPr>
      <w:r>
        <w:t xml:space="preserve">where </w:t>
      </w:r>
      <w:proofErr w:type="spellStart"/>
      <w:r>
        <w:t>livewood_mr_base</w:t>
      </w:r>
      <w:proofErr w:type="spellEnd"/>
      <w:r>
        <w:t xml:space="preserve"> (kg C kg C</w:t>
      </w:r>
      <w:r w:rsidRPr="6CEBCEED">
        <w:rPr>
          <w:vertAlign w:val="superscript"/>
        </w:rPr>
        <w:t>-1</w:t>
      </w:r>
      <w:r>
        <w:t xml:space="preserve"> day</w:t>
      </w:r>
      <w:r w:rsidRPr="6CEBCEED">
        <w:rPr>
          <w:vertAlign w:val="superscript"/>
        </w:rPr>
        <w:t>-1</w:t>
      </w:r>
      <w:r>
        <w:t xml:space="preserve">) is the maintenance respiration per unit of </w:t>
      </w:r>
      <w:proofErr w:type="spellStart"/>
      <w:r>
        <w:t>livewood</w:t>
      </w:r>
      <w:proofErr w:type="spellEnd"/>
      <w:r>
        <w:t xml:space="preserve"> carbon per day from the BPLUT</w:t>
      </w:r>
      <w:r w:rsidR="00955694">
        <w:t>.</w:t>
      </w:r>
      <w:r>
        <w:t xml:space="preserve"> </w:t>
      </w:r>
      <w:r w:rsidR="00955694">
        <w:t xml:space="preserve">The term </w:t>
      </w:r>
      <w:proofErr w:type="spellStart"/>
      <w:r>
        <w:t>annsum_mrindex</w:t>
      </w:r>
      <w:proofErr w:type="spellEnd"/>
      <w:r>
        <w:t xml:space="preserve"> is the annual sum of the </w:t>
      </w:r>
      <w:r w:rsidR="00955694">
        <w:t>daily</w:t>
      </w:r>
      <w:r w:rsidR="0063439D">
        <w:t xml:space="preserve"> </w:t>
      </w:r>
      <w:r>
        <w:lastRenderedPageBreak/>
        <w:t>maintenance respiration Q</w:t>
      </w:r>
      <w:r w:rsidRPr="6CEBCEED">
        <w:rPr>
          <w:vertAlign w:val="subscript"/>
        </w:rPr>
        <w:t>10</w:t>
      </w:r>
      <w:r>
        <w:t>_mr_livewood</w:t>
      </w:r>
      <w:r w:rsidRPr="6CEBCEED">
        <w:rPr>
          <w:vertAlign w:val="superscript"/>
        </w:rPr>
        <w:t xml:space="preserve"> [(Tavg-20.0)/10.0]</w:t>
      </w:r>
      <w:r w:rsidR="00955694">
        <w:t xml:space="preserve"> where </w:t>
      </w:r>
      <w:proofErr w:type="spellStart"/>
      <w:r w:rsidR="00955694">
        <w:t>Tavg</w:t>
      </w:r>
      <w:proofErr w:type="spellEnd"/>
      <w:r w:rsidR="00955694">
        <w:t xml:space="preserve"> (</w:t>
      </w:r>
      <w:r w:rsidR="00955694">
        <w:rPr>
          <w:rFonts w:ascii="Symbol" w:eastAsia="Symbol" w:hAnsi="Symbol" w:cs="Symbol"/>
        </w:rPr>
        <w:t></w:t>
      </w:r>
      <w:r w:rsidR="00955694">
        <w:t>C) is daily average air temperature estimated from the GMAO/NASA meteorological data</w:t>
      </w:r>
      <w:r>
        <w:t>. Q</w:t>
      </w:r>
      <w:r w:rsidRPr="6CEBCEED">
        <w:rPr>
          <w:vertAlign w:val="subscript"/>
        </w:rPr>
        <w:t>10</w:t>
      </w:r>
      <w:r>
        <w:t xml:space="preserve">_mr_livewood </w:t>
      </w:r>
      <w:r w:rsidRPr="6CEBCEED">
        <w:t>depends</w:t>
      </w:r>
      <w:r>
        <w:t xml:space="preserve"> on land-cover type and is obtained from the BPLUT. For grassland and crops it is zero, as we assume there is no woody tissue for these two land cover types.</w:t>
      </w:r>
    </w:p>
    <w:p w14:paraId="27792640" w14:textId="77777777" w:rsidR="0078185C" w:rsidRDefault="00000000">
      <w:pPr>
        <w:pStyle w:val="Heading3"/>
        <w:jc w:val="left"/>
      </w:pPr>
      <w:bookmarkStart w:id="10" w:name="_Toc181041981"/>
      <w:r>
        <w:t>1.3.4. Annual growth respiration and net primary productivity</w:t>
      </w:r>
      <w:bookmarkEnd w:id="10"/>
    </w:p>
    <w:p w14:paraId="722B00AE" w14:textId="77777777" w:rsidR="0078185C" w:rsidRDefault="0078185C">
      <w:pPr>
        <w:pStyle w:val="Heading3"/>
      </w:pPr>
    </w:p>
    <w:p w14:paraId="665FA0A1" w14:textId="325A7CBA" w:rsidR="0078185C" w:rsidRDefault="00000000">
      <w:pPr>
        <w:ind w:firstLine="720"/>
        <w:jc w:val="both"/>
      </w:pPr>
      <w:r>
        <w:t xml:space="preserve">The original </w:t>
      </w:r>
      <w:r w:rsidR="006E305F">
        <w:t xml:space="preserve">MOD17 </w:t>
      </w:r>
      <w:r>
        <w:t xml:space="preserve">algorithm calculated </w:t>
      </w:r>
      <w:r w:rsidR="00977C54">
        <w:t xml:space="preserve">GR </w:t>
      </w:r>
      <w:r>
        <w:t>as a function of annual maximum LAI</w:t>
      </w:r>
      <w:r w:rsidR="00A23C9E">
        <w:t xml:space="preserve"> (Running et al., 2000)</w:t>
      </w:r>
      <w:r>
        <w:t xml:space="preserve">, and thus, the accuracy of </w:t>
      </w:r>
      <w:r w:rsidR="6CEBCEED" w:rsidRPr="6CEBCEED">
        <w:t>GR</w:t>
      </w:r>
      <w:r>
        <w:t xml:space="preserve"> is determined by the accuracy of </w:t>
      </w:r>
      <w:proofErr w:type="spellStart"/>
      <w:r>
        <w:t>LAI</w:t>
      </w:r>
      <w:r>
        <w:rPr>
          <w:vertAlign w:val="subscript"/>
        </w:rPr>
        <w:t>max</w:t>
      </w:r>
      <w:proofErr w:type="spellEnd"/>
      <w:r>
        <w:t>.  However, when LAI is greater than 3.0, surface reflectance</w:t>
      </w:r>
      <w:r w:rsidR="6CEBCEED">
        <w:t xml:space="preserve"> has low sensitivity to LAI and, therefore,</w:t>
      </w:r>
      <w:r>
        <w:t xml:space="preserve"> </w:t>
      </w:r>
      <w:r w:rsidR="6CEBCEED">
        <w:t xml:space="preserve">LAI </w:t>
      </w:r>
      <w:r w:rsidR="6CEBCEED" w:rsidRPr="6CEBCEED">
        <w:t>becomes saturated</w:t>
      </w:r>
      <w:r>
        <w:t xml:space="preserve"> (Myneni et al</w:t>
      </w:r>
      <w:r w:rsidRPr="6CEBCEED">
        <w:rPr>
          <w:i/>
          <w:iCs/>
        </w:rPr>
        <w:t>.</w:t>
      </w:r>
      <w:r>
        <w:t xml:space="preserve">, 2002). Generally, for forests, annual maximum MODIS and VIIRS LAI is set to be 7.0 for pixels classified as forests. This logic can generate the same </w:t>
      </w:r>
      <w:r w:rsidR="6CEBCEED" w:rsidRPr="6CEBCEED">
        <w:t>GR</w:t>
      </w:r>
      <w:r>
        <w:t xml:space="preserve"> values for many pixels with the same annual maximum LAI but large differences in NPP</w:t>
      </w:r>
      <w:r w:rsidR="00A23C9E">
        <w:t xml:space="preserve"> (Zhao &amp; Running, 2010)</w:t>
      </w:r>
      <w:r>
        <w:t xml:space="preserve">. </w:t>
      </w:r>
      <w:r w:rsidR="6CEBCEED" w:rsidRPr="6CEBCEED">
        <w:t>GR</w:t>
      </w:r>
      <w:r>
        <w:t xml:space="preserve"> is the energy cost for constructing organic compounds fixed by photosynthesis, and it is empirically parameterized as 25% of NPP (Ryan 1991, </w:t>
      </w:r>
      <w:proofErr w:type="spellStart"/>
      <w:r>
        <w:t>Cannell</w:t>
      </w:r>
      <w:proofErr w:type="spellEnd"/>
      <w:r>
        <w:t xml:space="preserve"> et al. 2000). To improve the algorithm, </w:t>
      </w:r>
      <w:r w:rsidR="006E305F">
        <w:t>from the Collection 5</w:t>
      </w:r>
      <w:r w:rsidR="00315A2B">
        <w:t xml:space="preserve"> (C5)</w:t>
      </w:r>
      <w:r w:rsidR="006E305F">
        <w:t xml:space="preserve"> MOD17, </w:t>
      </w:r>
      <w:r>
        <w:t xml:space="preserve">we replaced the </w:t>
      </w:r>
      <w:proofErr w:type="spellStart"/>
      <w:r>
        <w:t>LAI</w:t>
      </w:r>
      <w:r>
        <w:rPr>
          <w:vertAlign w:val="subscript"/>
        </w:rPr>
        <w:t>max</w:t>
      </w:r>
      <w:proofErr w:type="spellEnd"/>
      <w:r>
        <w:t xml:space="preserve"> dependent GR with GR = 0.25 * NPP, and annual VIIRS NPP can be computed as</w:t>
      </w:r>
      <w:r w:rsidR="6CEBCEED">
        <w:t>:</w:t>
      </w:r>
    </w:p>
    <w:p w14:paraId="42C6D796" w14:textId="5D8A8694" w:rsidR="0078185C" w:rsidRDefault="0078185C">
      <w:pPr>
        <w:ind w:firstLine="720"/>
        <w:jc w:val="both"/>
      </w:pPr>
    </w:p>
    <w:p w14:paraId="33828BA5" w14:textId="28CB1CC7" w:rsidR="0078185C" w:rsidRDefault="00000000">
      <w:pPr>
        <w:ind w:firstLine="720"/>
        <w:jc w:val="both"/>
      </w:pPr>
      <w:r>
        <w:t>NPP = GPP – MR – GR</w:t>
      </w:r>
      <w:r>
        <w:rPr>
          <w:vertAlign w:val="subscript"/>
        </w:rPr>
        <w:t xml:space="preserve"> </w:t>
      </w:r>
      <w:r>
        <w:t>= GPP – MR – 0.25*NPP</w:t>
      </w:r>
      <w:r>
        <w:tab/>
        <w:t xml:space="preserve">                   </w:t>
      </w:r>
      <w:r>
        <w:tab/>
      </w:r>
      <w:r>
        <w:tab/>
      </w:r>
      <w:r>
        <w:tab/>
      </w:r>
      <w:r>
        <w:rPr>
          <w:b/>
        </w:rPr>
        <w:t>(1.12)</w:t>
      </w:r>
    </w:p>
    <w:p w14:paraId="6E1831B3" w14:textId="60039A09" w:rsidR="0078185C" w:rsidRDefault="0078185C">
      <w:pPr>
        <w:jc w:val="both"/>
      </w:pPr>
    </w:p>
    <w:p w14:paraId="53D834B8" w14:textId="55DF1E36" w:rsidR="00977C54" w:rsidRDefault="00977C54">
      <w:pPr>
        <w:jc w:val="both"/>
      </w:pPr>
      <w:r>
        <w:t>And therefore,</w:t>
      </w:r>
    </w:p>
    <w:p w14:paraId="54E11D2A" w14:textId="735F6D4E" w:rsidR="0078185C" w:rsidRDefault="0078185C">
      <w:pPr>
        <w:jc w:val="both"/>
      </w:pPr>
    </w:p>
    <w:p w14:paraId="048FFFF2" w14:textId="50D9FDB1" w:rsidR="0078185C" w:rsidRDefault="00000000">
      <w:pPr>
        <w:jc w:val="both"/>
      </w:pPr>
      <w:r>
        <w:tab/>
        <w:t xml:space="preserve">NPP = (1/1.25) * (GPP </w:t>
      </w:r>
      <w:r w:rsidR="006E305F">
        <w:t>–</w:t>
      </w:r>
      <w:r>
        <w:t xml:space="preserve"> MR) = </w:t>
      </w:r>
      <w:r w:rsidR="006E305F">
        <w:t>0.8</w:t>
      </w:r>
      <w:r>
        <w:t xml:space="preserve"> * (GPP – </w:t>
      </w:r>
      <w:proofErr w:type="gramStart"/>
      <w:r>
        <w:t xml:space="preserve">MR)   </w:t>
      </w:r>
      <w:proofErr w:type="gramEnd"/>
      <w:r>
        <w:t>when  GPP – MR &gt;=0, and</w:t>
      </w:r>
    </w:p>
    <w:p w14:paraId="139C6556" w14:textId="24231F1A" w:rsidR="00845BCA" w:rsidRPr="00A23C9E" w:rsidRDefault="00000000" w:rsidP="00A23C9E">
      <w:pPr>
        <w:jc w:val="both"/>
        <w:rPr>
          <w:b/>
        </w:rPr>
      </w:pPr>
      <w:r>
        <w:tab/>
        <w:t>NPP = 0</w:t>
      </w:r>
      <w:r>
        <w:tab/>
      </w:r>
      <w:r>
        <w:tab/>
      </w:r>
      <w:r>
        <w:tab/>
        <w:t xml:space="preserve"> </w:t>
      </w:r>
      <w:proofErr w:type="gramStart"/>
      <w:r>
        <w:t>when  GPP</w:t>
      </w:r>
      <w:proofErr w:type="gramEnd"/>
      <w:r>
        <w:t xml:space="preserve"> – MR &lt;  0</w:t>
      </w:r>
      <w:r>
        <w:tab/>
      </w:r>
      <w:r>
        <w:tab/>
      </w:r>
      <w:r>
        <w:tab/>
      </w:r>
      <w:r w:rsidR="00977C54">
        <w:t xml:space="preserve">           </w:t>
      </w:r>
      <w:r>
        <w:rPr>
          <w:b/>
        </w:rPr>
        <w:t>(1.13)</w:t>
      </w:r>
    </w:p>
    <w:p w14:paraId="78A0DDAA" w14:textId="38F7A6DE" w:rsidR="00845BCA" w:rsidRDefault="0063439D" w:rsidP="00845BCA">
      <w:r>
        <w:rPr>
          <w:noProof/>
        </w:rPr>
        <w:drawing>
          <wp:anchor distT="0" distB="0" distL="0" distR="0" simplePos="0" relativeHeight="34" behindDoc="0" locked="0" layoutInCell="1" allowOverlap="1" wp14:anchorId="75300CD7" wp14:editId="751B8E32">
            <wp:simplePos x="0" y="0"/>
            <wp:positionH relativeFrom="margin">
              <wp:posOffset>400501</wp:posOffset>
            </wp:positionH>
            <wp:positionV relativeFrom="page">
              <wp:posOffset>5055235</wp:posOffset>
            </wp:positionV>
            <wp:extent cx="5337810" cy="3261995"/>
            <wp:effectExtent l="0" t="0" r="0" b="0"/>
            <wp:wrapNone/>
            <wp:docPr id="15" name="Picture 2698"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698" descr="A picture containing map&#10;&#10;Description automatically generated"/>
                    <pic:cNvPicPr>
                      <a:picLocks noChangeAspect="1" noChangeArrowheads="1"/>
                    </pic:cNvPicPr>
                  </pic:nvPicPr>
                  <pic:blipFill>
                    <a:blip r:embed="rId16"/>
                    <a:stretch>
                      <a:fillRect/>
                    </a:stretch>
                  </pic:blipFill>
                  <pic:spPr bwMode="auto">
                    <a:xfrm>
                      <a:off x="0" y="0"/>
                      <a:ext cx="5337810" cy="3261995"/>
                    </a:xfrm>
                    <a:prstGeom prst="rect">
                      <a:avLst/>
                    </a:prstGeom>
                  </pic:spPr>
                </pic:pic>
              </a:graphicData>
            </a:graphic>
          </wp:anchor>
        </w:drawing>
      </w:r>
    </w:p>
    <w:p w14:paraId="7B85DC41" w14:textId="1A3D33C4" w:rsidR="00BE1053" w:rsidRDefault="00BE1053" w:rsidP="00845BCA"/>
    <w:p w14:paraId="466A0404" w14:textId="056DD5DE" w:rsidR="00BE1053" w:rsidRDefault="00BE1053" w:rsidP="00845BCA"/>
    <w:p w14:paraId="6B53FFE2" w14:textId="7605B11A" w:rsidR="00BE1053" w:rsidRDefault="00BE1053" w:rsidP="00845BCA"/>
    <w:p w14:paraId="626A5744" w14:textId="20515374" w:rsidR="00BE1053" w:rsidRDefault="00BE1053" w:rsidP="00845BCA"/>
    <w:p w14:paraId="322FF083" w14:textId="77777777" w:rsidR="00BE1053" w:rsidRDefault="00BE1053" w:rsidP="00845BCA"/>
    <w:p w14:paraId="4EB7E63A" w14:textId="1EBCD8E7" w:rsidR="00BE1053" w:rsidRDefault="00BE1053" w:rsidP="00845BCA"/>
    <w:p w14:paraId="19DB90DE" w14:textId="43DD8234" w:rsidR="00BE1053" w:rsidRDefault="00BE1053" w:rsidP="00845BCA"/>
    <w:p w14:paraId="203EE96D" w14:textId="414F04A8" w:rsidR="00BE1053" w:rsidRDefault="00BE1053" w:rsidP="00845BCA"/>
    <w:p w14:paraId="6851F287" w14:textId="71A8236F" w:rsidR="00BE1053" w:rsidRDefault="00BE1053" w:rsidP="00845BCA"/>
    <w:p w14:paraId="48AE9DF8" w14:textId="5AEF7264" w:rsidR="00BE1053" w:rsidRDefault="00BE1053" w:rsidP="00845BCA"/>
    <w:p w14:paraId="20EF0FBD" w14:textId="1FEB8F91" w:rsidR="00BE1053" w:rsidRDefault="00BE1053" w:rsidP="00845BCA"/>
    <w:p w14:paraId="55CAB0B3" w14:textId="2B596766" w:rsidR="00BE1053" w:rsidRDefault="00BE1053" w:rsidP="00845BCA"/>
    <w:p w14:paraId="205FAA36" w14:textId="5CB08C47" w:rsidR="00BE1053" w:rsidRDefault="00BE1053" w:rsidP="00845BCA"/>
    <w:p w14:paraId="3C1848F6" w14:textId="77777777" w:rsidR="00BE1053" w:rsidRDefault="00BE1053" w:rsidP="00845BCA"/>
    <w:p w14:paraId="284AF8A2" w14:textId="77777777" w:rsidR="00BE1053" w:rsidRDefault="00BE1053" w:rsidP="00845BCA"/>
    <w:p w14:paraId="5895842D" w14:textId="79C5A948" w:rsidR="00BE1053" w:rsidRDefault="00BE1053" w:rsidP="00845BCA"/>
    <w:p w14:paraId="0D60F70B" w14:textId="74ADE462" w:rsidR="00BE1053" w:rsidRDefault="00BE1053" w:rsidP="00845BCA"/>
    <w:p w14:paraId="11FF3107" w14:textId="77777777" w:rsidR="0063439D" w:rsidRDefault="0063439D" w:rsidP="0063439D">
      <w:pPr>
        <w:jc w:val="both"/>
        <w:rPr>
          <w:i/>
        </w:rPr>
      </w:pPr>
      <w:r>
        <w:rPr>
          <w:b/>
          <w:i/>
        </w:rPr>
        <w:t>Figure 2.1.</w:t>
      </w:r>
      <w:r>
        <w:rPr>
          <w:b/>
        </w:rPr>
        <w:t xml:space="preserve"> </w:t>
      </w:r>
      <w:r>
        <w:rPr>
          <w:bCs/>
          <w:i/>
        </w:rPr>
        <w:t xml:space="preserve">VIIRS GPP and NPP used land-cover type 1 in the 500-m Collection 5.1 MCDLCHKM dataset: </w:t>
      </w:r>
      <w:r>
        <w:rPr>
          <w:i/>
        </w:rPr>
        <w:t>Evergreen Needleleaf Forest (ENF), Evergreen Broadleaf Forest (EBF), Deciduous Needleleaf Forest (DNF), Deciduous Broadleaf Forest (DBF), Mixed forests (MF), Closed Shrublands (</w:t>
      </w:r>
      <w:proofErr w:type="spellStart"/>
      <w:r>
        <w:rPr>
          <w:i/>
        </w:rPr>
        <w:t>CShrub</w:t>
      </w:r>
      <w:proofErr w:type="spellEnd"/>
      <w:r>
        <w:rPr>
          <w:i/>
        </w:rPr>
        <w:t>), Open Shrublands (</w:t>
      </w:r>
      <w:proofErr w:type="spellStart"/>
      <w:r>
        <w:rPr>
          <w:i/>
        </w:rPr>
        <w:t>OShrub</w:t>
      </w:r>
      <w:proofErr w:type="spellEnd"/>
      <w:r>
        <w:rPr>
          <w:i/>
        </w:rPr>
        <w:t>), Woody Savannas (</w:t>
      </w:r>
      <w:proofErr w:type="spellStart"/>
      <w:r>
        <w:rPr>
          <w:i/>
        </w:rPr>
        <w:t>WSavanna</w:t>
      </w:r>
      <w:proofErr w:type="spellEnd"/>
      <w:r>
        <w:rPr>
          <w:i/>
        </w:rPr>
        <w:t xml:space="preserve">), Savannas (Savanna), grassland (Grass), and Croplands (Crop). Note that, in this figure, we combined </w:t>
      </w:r>
      <w:proofErr w:type="spellStart"/>
      <w:r>
        <w:rPr>
          <w:i/>
        </w:rPr>
        <w:lastRenderedPageBreak/>
        <w:t>CShrub</w:t>
      </w:r>
      <w:proofErr w:type="spellEnd"/>
      <w:r>
        <w:rPr>
          <w:i/>
        </w:rPr>
        <w:t xml:space="preserve"> and </w:t>
      </w:r>
      <w:proofErr w:type="spellStart"/>
      <w:r>
        <w:rPr>
          <w:i/>
        </w:rPr>
        <w:t>OShrub</w:t>
      </w:r>
      <w:proofErr w:type="spellEnd"/>
      <w:r>
        <w:rPr>
          <w:i/>
        </w:rPr>
        <w:t xml:space="preserve"> into Shrub, and </w:t>
      </w:r>
      <w:proofErr w:type="spellStart"/>
      <w:r>
        <w:rPr>
          <w:i/>
        </w:rPr>
        <w:t>WSavanna</w:t>
      </w:r>
      <w:proofErr w:type="spellEnd"/>
      <w:r>
        <w:rPr>
          <w:i/>
        </w:rPr>
        <w:t xml:space="preserve"> and Savannas into Savanna; we also combined snow and ice into barren.</w:t>
      </w:r>
    </w:p>
    <w:p w14:paraId="4337B976" w14:textId="6CE9DF0C" w:rsidR="00BE1053" w:rsidRPr="00845BCA" w:rsidRDefault="00BE1053" w:rsidP="00845BCA"/>
    <w:p w14:paraId="1F4A1164" w14:textId="48FAC128" w:rsidR="0078185C" w:rsidRDefault="00000000">
      <w:pPr>
        <w:pStyle w:val="Heading1"/>
      </w:pPr>
      <w:bookmarkStart w:id="11" w:name="_Toc181041982"/>
      <w:r>
        <w:t>2.  Operational Details and Primary Uncertainties</w:t>
      </w:r>
      <w:bookmarkEnd w:id="11"/>
    </w:p>
    <w:p w14:paraId="2DE403A5" w14:textId="4E5AAA2A" w:rsidR="0078185C" w:rsidRDefault="00000000">
      <w:pPr>
        <w:tabs>
          <w:tab w:val="left" w:pos="5889"/>
        </w:tabs>
        <w:jc w:val="both"/>
        <w:rPr>
          <w:b/>
          <w:bCs/>
        </w:rPr>
      </w:pPr>
      <w:r>
        <w:rPr>
          <w:b/>
          <w:bCs/>
        </w:rPr>
        <w:tab/>
      </w:r>
    </w:p>
    <w:p w14:paraId="754A4983" w14:textId="3CB47BA9" w:rsidR="0078185C" w:rsidRDefault="000135A6">
      <w:pPr>
        <w:ind w:firstLine="720"/>
        <w:jc w:val="both"/>
      </w:pPr>
      <w:r>
        <w:t>Several</w:t>
      </w:r>
      <w:r w:rsidR="6CEBCEED">
        <w:t xml:space="preserve"> issues are important in implementing this algorithm to derive global NPP. This section discusses some of the assumptions and special issues involved in development of the input variables, and their influence on the final NPP.</w:t>
      </w:r>
    </w:p>
    <w:p w14:paraId="62431CDC" w14:textId="788AC3B5" w:rsidR="0078185C" w:rsidRDefault="0078185C">
      <w:pPr>
        <w:ind w:firstLine="720"/>
        <w:jc w:val="both"/>
      </w:pPr>
    </w:p>
    <w:p w14:paraId="27F2FCD6" w14:textId="1BCDE21E" w:rsidR="0078185C" w:rsidRDefault="00000000">
      <w:pPr>
        <w:pStyle w:val="Heading2"/>
      </w:pPr>
      <w:bookmarkStart w:id="12" w:name="_Toc181041983"/>
      <w:r>
        <w:t>2.1. Dependence on MODIS Land Cover Classification (MCDLCHKM)</w:t>
      </w:r>
      <w:bookmarkEnd w:id="12"/>
    </w:p>
    <w:p w14:paraId="49E398E2" w14:textId="03E79978" w:rsidR="0078185C" w:rsidRDefault="0078185C">
      <w:pPr>
        <w:ind w:firstLine="720"/>
        <w:jc w:val="both"/>
      </w:pPr>
    </w:p>
    <w:p w14:paraId="751214D3" w14:textId="4B637286" w:rsidR="0078185C" w:rsidRDefault="00000000">
      <w:pPr>
        <w:ind w:firstLine="720"/>
        <w:jc w:val="both"/>
      </w:pPr>
      <w:r>
        <w:t xml:space="preserve">At current stage, </w:t>
      </w:r>
      <w:r w:rsidR="29B8089E">
        <w:t xml:space="preserve">the </w:t>
      </w:r>
      <w:r>
        <w:t xml:space="preserve">VIIRS </w:t>
      </w:r>
      <w:r w:rsidR="00977C54">
        <w:t xml:space="preserve">C2 </w:t>
      </w:r>
      <w:r>
        <w:t>GPP and NPP data product still us</w:t>
      </w:r>
      <w:r w:rsidR="29B8089E">
        <w:t>es</w:t>
      </w:r>
      <w:r>
        <w:t xml:space="preserve"> </w:t>
      </w:r>
      <w:r w:rsidR="29B8089E">
        <w:t xml:space="preserve">a </w:t>
      </w:r>
      <w:r w:rsidR="00DF25F6">
        <w:t>quasi-</w:t>
      </w:r>
      <w:r w:rsidR="29B8089E">
        <w:t xml:space="preserve">static </w:t>
      </w:r>
      <w:r>
        <w:t>MODIS Land Cover Product,</w:t>
      </w:r>
      <w:r w:rsidR="00977C54">
        <w:t xml:space="preserve"> MCDLCHKM,</w:t>
      </w:r>
      <w:r>
        <w:t xml:space="preserve"> as input</w:t>
      </w:r>
      <w:r w:rsidR="00977C54">
        <w:t xml:space="preserve">, to be consistent with the C2 VIIRS FPAR/LAI, which also uses MCDLCHKM as input. MCDLCHKM </w:t>
      </w:r>
      <w:r>
        <w:t xml:space="preserve">is a three-year smoothed land cover data product from MCD12Q1. The importance of this product cannot be overstated as the VNP17 algorithm relies heavily on land cover type through use of the BPLUT. While the primary product created by MCDLCHKM is a 17-class IGBP (International Geosphere-Biosphere </w:t>
      </w:r>
      <w:proofErr w:type="spellStart"/>
      <w:r>
        <w:t>Programme</w:t>
      </w:r>
      <w:proofErr w:type="spellEnd"/>
      <w:r>
        <w:t xml:space="preserve">) landcover classification map </w:t>
      </w:r>
      <w:r>
        <w:fldChar w:fldCharType="begin"/>
      </w:r>
      <w:r>
        <w:instrText>ADDIN ENRfu</w:instrText>
      </w:r>
      <w:r>
        <w:fldChar w:fldCharType="separate"/>
      </w:r>
      <w:r>
        <w:t>(Running et al. 1994, Belward et al. 1999, Friedl et al. 2010)</w:t>
      </w:r>
      <w:r>
        <w:fldChar w:fldCharType="end"/>
      </w:r>
      <w:r>
        <w:t xml:space="preserve"> (Table 2.1).  </w:t>
      </w:r>
    </w:p>
    <w:p w14:paraId="01E3B870" w14:textId="77777777" w:rsidR="00207FA1" w:rsidRDefault="00207FA1">
      <w:pPr>
        <w:ind w:firstLine="720"/>
        <w:jc w:val="both"/>
      </w:pPr>
    </w:p>
    <w:p w14:paraId="642074D1" w14:textId="77777777" w:rsidR="0078185C" w:rsidRDefault="00000000">
      <w:pPr>
        <w:jc w:val="both"/>
        <w:rPr>
          <w:i/>
        </w:rPr>
      </w:pPr>
      <w:r>
        <w:rPr>
          <w:b/>
          <w:i/>
        </w:rPr>
        <w:t>Table 2.1</w:t>
      </w:r>
      <w:r>
        <w:rPr>
          <w:i/>
        </w:rPr>
        <w:t>. The land cover types used in the VIIRS GPP/NPP Algorithm.</w:t>
      </w:r>
    </w:p>
    <w:tbl>
      <w:tblPr>
        <w:tblpPr w:leftFromText="142" w:rightFromText="142" w:vertAnchor="text" w:horzAnchor="page" w:tblpX="3318" w:tblpY="92"/>
        <w:tblW w:w="5277" w:type="dxa"/>
        <w:tblLook w:val="0000" w:firstRow="0" w:lastRow="0" w:firstColumn="0" w:lastColumn="0" w:noHBand="0" w:noVBand="0"/>
      </w:tblPr>
      <w:tblGrid>
        <w:gridCol w:w="1556"/>
        <w:gridCol w:w="3721"/>
      </w:tblGrid>
      <w:tr w:rsidR="0078185C" w14:paraId="612D5790" w14:textId="77777777">
        <w:trPr>
          <w:cantSplit/>
        </w:trPr>
        <w:tc>
          <w:tcPr>
            <w:tcW w:w="5276" w:type="dxa"/>
            <w:gridSpan w:val="2"/>
            <w:tcBorders>
              <w:top w:val="single" w:sz="4" w:space="0" w:color="000000"/>
              <w:left w:val="single" w:sz="4" w:space="0" w:color="000000"/>
              <w:bottom w:val="single" w:sz="4" w:space="0" w:color="000000"/>
              <w:right w:val="single" w:sz="4" w:space="0" w:color="000000"/>
            </w:tcBorders>
          </w:tcPr>
          <w:p w14:paraId="089CC784" w14:textId="1A0DD785" w:rsidR="0078185C" w:rsidRDefault="001E3032">
            <w:pPr>
              <w:jc w:val="both"/>
              <w:rPr>
                <w:b/>
              </w:rPr>
            </w:pPr>
            <w:r w:rsidRPr="001E3032">
              <w:rPr>
                <w:b/>
              </w:rPr>
              <w:t>land-cover type 1 in MCDLCHKM</w:t>
            </w:r>
            <w:r>
              <w:rPr>
                <w:b/>
              </w:rPr>
              <w:t xml:space="preserve"> 500m</w:t>
            </w:r>
          </w:p>
        </w:tc>
      </w:tr>
      <w:tr w:rsidR="0078185C" w14:paraId="31A0D9B9" w14:textId="77777777">
        <w:tc>
          <w:tcPr>
            <w:tcW w:w="1556" w:type="dxa"/>
            <w:tcBorders>
              <w:top w:val="single" w:sz="4" w:space="0" w:color="000000"/>
              <w:left w:val="single" w:sz="4" w:space="0" w:color="000000"/>
              <w:bottom w:val="double" w:sz="4" w:space="0" w:color="000000"/>
              <w:right w:val="single" w:sz="4" w:space="0" w:color="000000"/>
            </w:tcBorders>
          </w:tcPr>
          <w:p w14:paraId="68826A8A" w14:textId="77777777" w:rsidR="0078185C" w:rsidRDefault="00000000">
            <w:pPr>
              <w:jc w:val="both"/>
              <w:rPr>
                <w:b/>
              </w:rPr>
            </w:pPr>
            <w:r>
              <w:rPr>
                <w:b/>
              </w:rPr>
              <w:t>Class Value</w:t>
            </w:r>
          </w:p>
        </w:tc>
        <w:tc>
          <w:tcPr>
            <w:tcW w:w="3720" w:type="dxa"/>
            <w:tcBorders>
              <w:top w:val="single" w:sz="4" w:space="0" w:color="000000"/>
              <w:left w:val="single" w:sz="4" w:space="0" w:color="000000"/>
              <w:bottom w:val="double" w:sz="4" w:space="0" w:color="000000"/>
              <w:right w:val="single" w:sz="4" w:space="0" w:color="000000"/>
            </w:tcBorders>
          </w:tcPr>
          <w:p w14:paraId="092CBB72" w14:textId="5D7D6FC9" w:rsidR="0078185C" w:rsidRDefault="00000000">
            <w:pPr>
              <w:jc w:val="both"/>
              <w:rPr>
                <w:b/>
              </w:rPr>
            </w:pPr>
            <w:r>
              <w:rPr>
                <w:b/>
              </w:rPr>
              <w:t>Class Description</w:t>
            </w:r>
          </w:p>
        </w:tc>
      </w:tr>
      <w:tr w:rsidR="0078185C" w14:paraId="008C2ED8" w14:textId="77777777">
        <w:tc>
          <w:tcPr>
            <w:tcW w:w="1556" w:type="dxa"/>
            <w:tcBorders>
              <w:top w:val="double" w:sz="4" w:space="0" w:color="000000"/>
              <w:left w:val="single" w:sz="4" w:space="0" w:color="000000"/>
              <w:bottom w:val="single" w:sz="4" w:space="0" w:color="000000"/>
              <w:right w:val="single" w:sz="4" w:space="0" w:color="000000"/>
            </w:tcBorders>
          </w:tcPr>
          <w:p w14:paraId="4B584315" w14:textId="77777777" w:rsidR="0078185C" w:rsidRDefault="00000000">
            <w:pPr>
              <w:jc w:val="both"/>
            </w:pPr>
            <w:r>
              <w:t>0</w:t>
            </w:r>
          </w:p>
        </w:tc>
        <w:tc>
          <w:tcPr>
            <w:tcW w:w="3720" w:type="dxa"/>
            <w:tcBorders>
              <w:top w:val="double" w:sz="4" w:space="0" w:color="000000"/>
              <w:left w:val="single" w:sz="4" w:space="0" w:color="000000"/>
              <w:bottom w:val="single" w:sz="4" w:space="0" w:color="000000"/>
              <w:right w:val="single" w:sz="4" w:space="0" w:color="000000"/>
            </w:tcBorders>
          </w:tcPr>
          <w:p w14:paraId="708A6980" w14:textId="7323E6B5" w:rsidR="0078185C" w:rsidRDefault="00000000">
            <w:pPr>
              <w:jc w:val="both"/>
            </w:pPr>
            <w:r>
              <w:t>Water</w:t>
            </w:r>
          </w:p>
        </w:tc>
      </w:tr>
      <w:tr w:rsidR="0078185C" w14:paraId="1EE3A980" w14:textId="77777777">
        <w:tc>
          <w:tcPr>
            <w:tcW w:w="1556" w:type="dxa"/>
            <w:tcBorders>
              <w:top w:val="single" w:sz="4" w:space="0" w:color="000000"/>
              <w:left w:val="single" w:sz="4" w:space="0" w:color="000000"/>
              <w:bottom w:val="single" w:sz="4" w:space="0" w:color="000000"/>
              <w:right w:val="single" w:sz="4" w:space="0" w:color="000000"/>
            </w:tcBorders>
          </w:tcPr>
          <w:p w14:paraId="649841BE" w14:textId="77777777" w:rsidR="0078185C" w:rsidRDefault="00000000">
            <w:pPr>
              <w:jc w:val="both"/>
            </w:pPr>
            <w:r>
              <w:t>1</w:t>
            </w:r>
          </w:p>
        </w:tc>
        <w:tc>
          <w:tcPr>
            <w:tcW w:w="3720" w:type="dxa"/>
            <w:tcBorders>
              <w:top w:val="single" w:sz="4" w:space="0" w:color="000000"/>
              <w:left w:val="single" w:sz="4" w:space="0" w:color="000000"/>
              <w:bottom w:val="single" w:sz="4" w:space="0" w:color="000000"/>
              <w:right w:val="single" w:sz="4" w:space="0" w:color="000000"/>
            </w:tcBorders>
          </w:tcPr>
          <w:p w14:paraId="4434A385" w14:textId="35E986BF" w:rsidR="0078185C" w:rsidRDefault="00000000">
            <w:pPr>
              <w:jc w:val="both"/>
            </w:pPr>
            <w:r>
              <w:t>Evergreen Needleleaf Forest</w:t>
            </w:r>
          </w:p>
        </w:tc>
      </w:tr>
      <w:tr w:rsidR="0078185C" w14:paraId="699B232E" w14:textId="77777777">
        <w:tc>
          <w:tcPr>
            <w:tcW w:w="1556" w:type="dxa"/>
            <w:tcBorders>
              <w:top w:val="single" w:sz="4" w:space="0" w:color="000000"/>
              <w:left w:val="single" w:sz="4" w:space="0" w:color="000000"/>
              <w:bottom w:val="single" w:sz="4" w:space="0" w:color="000000"/>
              <w:right w:val="single" w:sz="4" w:space="0" w:color="000000"/>
            </w:tcBorders>
          </w:tcPr>
          <w:p w14:paraId="18F999B5" w14:textId="77777777" w:rsidR="0078185C" w:rsidRDefault="00000000">
            <w:pPr>
              <w:jc w:val="both"/>
            </w:pPr>
            <w:r>
              <w:t>2</w:t>
            </w:r>
          </w:p>
        </w:tc>
        <w:tc>
          <w:tcPr>
            <w:tcW w:w="3720" w:type="dxa"/>
            <w:tcBorders>
              <w:top w:val="single" w:sz="4" w:space="0" w:color="000000"/>
              <w:left w:val="single" w:sz="4" w:space="0" w:color="000000"/>
              <w:bottom w:val="single" w:sz="4" w:space="0" w:color="000000"/>
              <w:right w:val="single" w:sz="4" w:space="0" w:color="000000"/>
            </w:tcBorders>
          </w:tcPr>
          <w:p w14:paraId="64258F8E" w14:textId="77777777" w:rsidR="0078185C" w:rsidRDefault="00000000">
            <w:pPr>
              <w:jc w:val="both"/>
            </w:pPr>
            <w:r>
              <w:t>Evergreen Broadleaf Forest</w:t>
            </w:r>
          </w:p>
        </w:tc>
      </w:tr>
      <w:tr w:rsidR="0078185C" w14:paraId="3ABB119A" w14:textId="77777777">
        <w:tc>
          <w:tcPr>
            <w:tcW w:w="1556" w:type="dxa"/>
            <w:tcBorders>
              <w:top w:val="single" w:sz="4" w:space="0" w:color="000000"/>
              <w:left w:val="single" w:sz="4" w:space="0" w:color="000000"/>
              <w:bottom w:val="single" w:sz="4" w:space="0" w:color="000000"/>
              <w:right w:val="single" w:sz="4" w:space="0" w:color="000000"/>
            </w:tcBorders>
          </w:tcPr>
          <w:p w14:paraId="5FCD5EC4" w14:textId="77777777" w:rsidR="0078185C" w:rsidRDefault="00000000">
            <w:pPr>
              <w:jc w:val="both"/>
            </w:pPr>
            <w:r>
              <w:t>3</w:t>
            </w:r>
          </w:p>
        </w:tc>
        <w:tc>
          <w:tcPr>
            <w:tcW w:w="3720" w:type="dxa"/>
            <w:tcBorders>
              <w:top w:val="single" w:sz="4" w:space="0" w:color="000000"/>
              <w:left w:val="single" w:sz="4" w:space="0" w:color="000000"/>
              <w:bottom w:val="single" w:sz="4" w:space="0" w:color="000000"/>
              <w:right w:val="single" w:sz="4" w:space="0" w:color="000000"/>
            </w:tcBorders>
          </w:tcPr>
          <w:p w14:paraId="1005F87F" w14:textId="38C1824C" w:rsidR="0078185C" w:rsidRDefault="00000000">
            <w:pPr>
              <w:jc w:val="both"/>
            </w:pPr>
            <w:r>
              <w:t>Deciduous Needleleaf Forest</w:t>
            </w:r>
          </w:p>
        </w:tc>
      </w:tr>
      <w:tr w:rsidR="0078185C" w14:paraId="7BAC8BAE" w14:textId="77777777">
        <w:tc>
          <w:tcPr>
            <w:tcW w:w="1556" w:type="dxa"/>
            <w:tcBorders>
              <w:top w:val="single" w:sz="4" w:space="0" w:color="000000"/>
              <w:left w:val="single" w:sz="4" w:space="0" w:color="000000"/>
              <w:bottom w:val="single" w:sz="4" w:space="0" w:color="000000"/>
              <w:right w:val="single" w:sz="4" w:space="0" w:color="000000"/>
            </w:tcBorders>
          </w:tcPr>
          <w:p w14:paraId="2598DEE6" w14:textId="77777777" w:rsidR="0078185C" w:rsidRDefault="00000000">
            <w:pPr>
              <w:jc w:val="both"/>
            </w:pPr>
            <w:r>
              <w:t>4</w:t>
            </w:r>
          </w:p>
        </w:tc>
        <w:tc>
          <w:tcPr>
            <w:tcW w:w="3720" w:type="dxa"/>
            <w:tcBorders>
              <w:top w:val="single" w:sz="4" w:space="0" w:color="000000"/>
              <w:left w:val="single" w:sz="4" w:space="0" w:color="000000"/>
              <w:bottom w:val="single" w:sz="4" w:space="0" w:color="000000"/>
              <w:right w:val="single" w:sz="4" w:space="0" w:color="000000"/>
            </w:tcBorders>
          </w:tcPr>
          <w:p w14:paraId="7E213882" w14:textId="221488FD" w:rsidR="0078185C" w:rsidRDefault="00000000">
            <w:pPr>
              <w:jc w:val="both"/>
            </w:pPr>
            <w:r>
              <w:t>Deciduous Broadleaf Forest</w:t>
            </w:r>
          </w:p>
        </w:tc>
      </w:tr>
      <w:tr w:rsidR="0078185C" w14:paraId="176AFE32" w14:textId="77777777">
        <w:tc>
          <w:tcPr>
            <w:tcW w:w="1556" w:type="dxa"/>
            <w:tcBorders>
              <w:top w:val="single" w:sz="4" w:space="0" w:color="000000"/>
              <w:left w:val="single" w:sz="4" w:space="0" w:color="000000"/>
              <w:bottom w:val="single" w:sz="4" w:space="0" w:color="000000"/>
              <w:right w:val="single" w:sz="4" w:space="0" w:color="000000"/>
            </w:tcBorders>
          </w:tcPr>
          <w:p w14:paraId="78941E47" w14:textId="77777777" w:rsidR="0078185C" w:rsidRDefault="00000000">
            <w:pPr>
              <w:jc w:val="both"/>
            </w:pPr>
            <w:r>
              <w:t>5</w:t>
            </w:r>
          </w:p>
        </w:tc>
        <w:tc>
          <w:tcPr>
            <w:tcW w:w="3720" w:type="dxa"/>
            <w:tcBorders>
              <w:top w:val="single" w:sz="4" w:space="0" w:color="000000"/>
              <w:left w:val="single" w:sz="4" w:space="0" w:color="000000"/>
              <w:bottom w:val="single" w:sz="4" w:space="0" w:color="000000"/>
              <w:right w:val="single" w:sz="4" w:space="0" w:color="000000"/>
            </w:tcBorders>
          </w:tcPr>
          <w:p w14:paraId="563B5DF7" w14:textId="3178C54C" w:rsidR="0078185C" w:rsidRDefault="00000000">
            <w:pPr>
              <w:jc w:val="both"/>
            </w:pPr>
            <w:r>
              <w:t>Mixed Forest</w:t>
            </w:r>
          </w:p>
        </w:tc>
      </w:tr>
      <w:tr w:rsidR="0078185C" w14:paraId="7A62C4B3" w14:textId="77777777">
        <w:tc>
          <w:tcPr>
            <w:tcW w:w="1556" w:type="dxa"/>
            <w:tcBorders>
              <w:top w:val="single" w:sz="4" w:space="0" w:color="000000"/>
              <w:left w:val="single" w:sz="4" w:space="0" w:color="000000"/>
              <w:bottom w:val="single" w:sz="4" w:space="0" w:color="000000"/>
              <w:right w:val="single" w:sz="4" w:space="0" w:color="000000"/>
            </w:tcBorders>
          </w:tcPr>
          <w:p w14:paraId="29B4EA11" w14:textId="77777777" w:rsidR="0078185C" w:rsidRDefault="00000000">
            <w:pPr>
              <w:jc w:val="both"/>
            </w:pPr>
            <w:r>
              <w:t>6</w:t>
            </w:r>
          </w:p>
        </w:tc>
        <w:tc>
          <w:tcPr>
            <w:tcW w:w="3720" w:type="dxa"/>
            <w:tcBorders>
              <w:top w:val="single" w:sz="4" w:space="0" w:color="000000"/>
              <w:left w:val="single" w:sz="4" w:space="0" w:color="000000"/>
              <w:bottom w:val="single" w:sz="4" w:space="0" w:color="000000"/>
              <w:right w:val="single" w:sz="4" w:space="0" w:color="000000"/>
            </w:tcBorders>
          </w:tcPr>
          <w:p w14:paraId="2A09AE06" w14:textId="497F642A" w:rsidR="0078185C" w:rsidRDefault="00000000">
            <w:pPr>
              <w:jc w:val="both"/>
            </w:pPr>
            <w:r>
              <w:t>Closed Shrubland</w:t>
            </w:r>
          </w:p>
        </w:tc>
      </w:tr>
      <w:tr w:rsidR="0078185C" w14:paraId="14E4014C" w14:textId="77777777">
        <w:tc>
          <w:tcPr>
            <w:tcW w:w="1556" w:type="dxa"/>
            <w:tcBorders>
              <w:top w:val="single" w:sz="4" w:space="0" w:color="000000"/>
              <w:left w:val="single" w:sz="4" w:space="0" w:color="000000"/>
              <w:bottom w:val="single" w:sz="4" w:space="0" w:color="000000"/>
              <w:right w:val="single" w:sz="4" w:space="0" w:color="000000"/>
            </w:tcBorders>
          </w:tcPr>
          <w:p w14:paraId="75697EEC" w14:textId="77777777" w:rsidR="0078185C" w:rsidRDefault="00000000">
            <w:pPr>
              <w:jc w:val="both"/>
            </w:pPr>
            <w:r>
              <w:t>7</w:t>
            </w:r>
          </w:p>
        </w:tc>
        <w:tc>
          <w:tcPr>
            <w:tcW w:w="3720" w:type="dxa"/>
            <w:tcBorders>
              <w:top w:val="single" w:sz="4" w:space="0" w:color="000000"/>
              <w:left w:val="single" w:sz="4" w:space="0" w:color="000000"/>
              <w:bottom w:val="single" w:sz="4" w:space="0" w:color="000000"/>
              <w:right w:val="single" w:sz="4" w:space="0" w:color="000000"/>
            </w:tcBorders>
          </w:tcPr>
          <w:p w14:paraId="65279E48" w14:textId="77777777" w:rsidR="0078185C" w:rsidRDefault="00000000">
            <w:pPr>
              <w:jc w:val="both"/>
            </w:pPr>
            <w:r>
              <w:t>Open Shrubland</w:t>
            </w:r>
          </w:p>
        </w:tc>
      </w:tr>
      <w:tr w:rsidR="0078185C" w14:paraId="56A914AC" w14:textId="77777777">
        <w:tc>
          <w:tcPr>
            <w:tcW w:w="1556" w:type="dxa"/>
            <w:tcBorders>
              <w:top w:val="single" w:sz="4" w:space="0" w:color="000000"/>
              <w:left w:val="single" w:sz="4" w:space="0" w:color="000000"/>
              <w:bottom w:val="single" w:sz="4" w:space="0" w:color="000000"/>
              <w:right w:val="single" w:sz="4" w:space="0" w:color="000000"/>
            </w:tcBorders>
          </w:tcPr>
          <w:p w14:paraId="44B0A208" w14:textId="00FC3DD9" w:rsidR="0078185C" w:rsidRDefault="00000000">
            <w:pPr>
              <w:jc w:val="both"/>
            </w:pPr>
            <w:r>
              <w:t>8</w:t>
            </w:r>
          </w:p>
        </w:tc>
        <w:tc>
          <w:tcPr>
            <w:tcW w:w="3720" w:type="dxa"/>
            <w:tcBorders>
              <w:top w:val="single" w:sz="4" w:space="0" w:color="000000"/>
              <w:left w:val="single" w:sz="4" w:space="0" w:color="000000"/>
              <w:bottom w:val="single" w:sz="4" w:space="0" w:color="000000"/>
              <w:right w:val="single" w:sz="4" w:space="0" w:color="000000"/>
            </w:tcBorders>
          </w:tcPr>
          <w:p w14:paraId="5706BAB8" w14:textId="77777777" w:rsidR="0078185C" w:rsidRDefault="00000000">
            <w:pPr>
              <w:jc w:val="both"/>
            </w:pPr>
            <w:r>
              <w:t>Woody Savanna</w:t>
            </w:r>
          </w:p>
        </w:tc>
      </w:tr>
      <w:tr w:rsidR="0078185C" w14:paraId="7DFE994C" w14:textId="77777777">
        <w:tc>
          <w:tcPr>
            <w:tcW w:w="1556" w:type="dxa"/>
            <w:tcBorders>
              <w:top w:val="single" w:sz="4" w:space="0" w:color="000000"/>
              <w:left w:val="single" w:sz="4" w:space="0" w:color="000000"/>
              <w:bottom w:val="single" w:sz="4" w:space="0" w:color="000000"/>
              <w:right w:val="single" w:sz="4" w:space="0" w:color="000000"/>
            </w:tcBorders>
          </w:tcPr>
          <w:p w14:paraId="2B2B7304" w14:textId="4C087D60" w:rsidR="0078185C" w:rsidRDefault="00000000">
            <w:pPr>
              <w:jc w:val="both"/>
            </w:pPr>
            <w:r>
              <w:t>9</w:t>
            </w:r>
          </w:p>
        </w:tc>
        <w:tc>
          <w:tcPr>
            <w:tcW w:w="3720" w:type="dxa"/>
            <w:tcBorders>
              <w:top w:val="single" w:sz="4" w:space="0" w:color="000000"/>
              <w:left w:val="single" w:sz="4" w:space="0" w:color="000000"/>
              <w:bottom w:val="single" w:sz="4" w:space="0" w:color="000000"/>
              <w:right w:val="single" w:sz="4" w:space="0" w:color="000000"/>
            </w:tcBorders>
          </w:tcPr>
          <w:p w14:paraId="545AC783" w14:textId="77777777" w:rsidR="0078185C" w:rsidRDefault="00000000">
            <w:pPr>
              <w:jc w:val="both"/>
            </w:pPr>
            <w:r>
              <w:t>Savanna</w:t>
            </w:r>
          </w:p>
        </w:tc>
      </w:tr>
      <w:tr w:rsidR="0078185C" w14:paraId="76F88A80" w14:textId="77777777">
        <w:tc>
          <w:tcPr>
            <w:tcW w:w="1556" w:type="dxa"/>
            <w:tcBorders>
              <w:top w:val="single" w:sz="4" w:space="0" w:color="000000"/>
              <w:left w:val="single" w:sz="4" w:space="0" w:color="000000"/>
              <w:bottom w:val="single" w:sz="4" w:space="0" w:color="000000"/>
              <w:right w:val="single" w:sz="4" w:space="0" w:color="000000"/>
            </w:tcBorders>
          </w:tcPr>
          <w:p w14:paraId="5D369756" w14:textId="7754059E" w:rsidR="0078185C" w:rsidRDefault="00000000">
            <w:pPr>
              <w:jc w:val="both"/>
            </w:pPr>
            <w:r>
              <w:t>10</w:t>
            </w:r>
          </w:p>
        </w:tc>
        <w:tc>
          <w:tcPr>
            <w:tcW w:w="3720" w:type="dxa"/>
            <w:tcBorders>
              <w:top w:val="single" w:sz="4" w:space="0" w:color="000000"/>
              <w:left w:val="single" w:sz="4" w:space="0" w:color="000000"/>
              <w:bottom w:val="single" w:sz="4" w:space="0" w:color="000000"/>
              <w:right w:val="single" w:sz="4" w:space="0" w:color="000000"/>
            </w:tcBorders>
          </w:tcPr>
          <w:p w14:paraId="64F9A3D6" w14:textId="77777777" w:rsidR="0078185C" w:rsidRDefault="00000000">
            <w:pPr>
              <w:jc w:val="both"/>
            </w:pPr>
            <w:r>
              <w:t>Grasslands</w:t>
            </w:r>
          </w:p>
        </w:tc>
      </w:tr>
      <w:tr w:rsidR="0078185C" w14:paraId="2E50D93A" w14:textId="77777777">
        <w:tc>
          <w:tcPr>
            <w:tcW w:w="1556" w:type="dxa"/>
            <w:tcBorders>
              <w:top w:val="single" w:sz="4" w:space="0" w:color="000000"/>
              <w:left w:val="single" w:sz="4" w:space="0" w:color="000000"/>
              <w:bottom w:val="single" w:sz="4" w:space="0" w:color="000000"/>
              <w:right w:val="single" w:sz="4" w:space="0" w:color="000000"/>
            </w:tcBorders>
          </w:tcPr>
          <w:p w14:paraId="4B73E586" w14:textId="77777777" w:rsidR="0078185C" w:rsidRDefault="00000000">
            <w:pPr>
              <w:jc w:val="both"/>
            </w:pPr>
            <w:r>
              <w:t>12</w:t>
            </w:r>
          </w:p>
        </w:tc>
        <w:tc>
          <w:tcPr>
            <w:tcW w:w="3720" w:type="dxa"/>
            <w:tcBorders>
              <w:top w:val="single" w:sz="4" w:space="0" w:color="000000"/>
              <w:left w:val="single" w:sz="4" w:space="0" w:color="000000"/>
              <w:bottom w:val="single" w:sz="4" w:space="0" w:color="000000"/>
              <w:right w:val="single" w:sz="4" w:space="0" w:color="000000"/>
            </w:tcBorders>
          </w:tcPr>
          <w:p w14:paraId="3F78BD62" w14:textId="77777777" w:rsidR="0078185C" w:rsidRDefault="00000000">
            <w:pPr>
              <w:jc w:val="both"/>
            </w:pPr>
            <w:r>
              <w:t>Croplands</w:t>
            </w:r>
          </w:p>
        </w:tc>
      </w:tr>
      <w:tr w:rsidR="0078185C" w14:paraId="46DA2270" w14:textId="77777777">
        <w:tc>
          <w:tcPr>
            <w:tcW w:w="1556" w:type="dxa"/>
            <w:tcBorders>
              <w:top w:val="single" w:sz="4" w:space="0" w:color="000000"/>
              <w:left w:val="single" w:sz="4" w:space="0" w:color="000000"/>
              <w:bottom w:val="single" w:sz="4" w:space="0" w:color="000000"/>
              <w:right w:val="single" w:sz="4" w:space="0" w:color="000000"/>
            </w:tcBorders>
          </w:tcPr>
          <w:p w14:paraId="39F18D26" w14:textId="77777777" w:rsidR="0078185C" w:rsidRDefault="00000000">
            <w:pPr>
              <w:jc w:val="both"/>
            </w:pPr>
            <w:r>
              <w:t>13</w:t>
            </w:r>
          </w:p>
        </w:tc>
        <w:tc>
          <w:tcPr>
            <w:tcW w:w="3720" w:type="dxa"/>
            <w:tcBorders>
              <w:top w:val="single" w:sz="4" w:space="0" w:color="000000"/>
              <w:left w:val="single" w:sz="4" w:space="0" w:color="000000"/>
              <w:bottom w:val="single" w:sz="4" w:space="0" w:color="000000"/>
              <w:right w:val="single" w:sz="4" w:space="0" w:color="000000"/>
            </w:tcBorders>
          </w:tcPr>
          <w:p w14:paraId="2F3322A8" w14:textId="77777777" w:rsidR="0078185C" w:rsidRDefault="00000000">
            <w:pPr>
              <w:jc w:val="both"/>
            </w:pPr>
            <w:r>
              <w:t>Urban or Built-Up</w:t>
            </w:r>
          </w:p>
        </w:tc>
      </w:tr>
      <w:tr w:rsidR="0078185C" w14:paraId="2339A0E2" w14:textId="77777777">
        <w:tc>
          <w:tcPr>
            <w:tcW w:w="1556" w:type="dxa"/>
            <w:tcBorders>
              <w:top w:val="single" w:sz="4" w:space="0" w:color="000000"/>
              <w:left w:val="single" w:sz="4" w:space="0" w:color="000000"/>
              <w:bottom w:val="single" w:sz="4" w:space="0" w:color="000000"/>
              <w:right w:val="single" w:sz="4" w:space="0" w:color="000000"/>
            </w:tcBorders>
          </w:tcPr>
          <w:p w14:paraId="0EB5E791" w14:textId="77777777" w:rsidR="0078185C" w:rsidRDefault="00000000">
            <w:pPr>
              <w:jc w:val="both"/>
            </w:pPr>
            <w:r>
              <w:t>16</w:t>
            </w:r>
          </w:p>
        </w:tc>
        <w:tc>
          <w:tcPr>
            <w:tcW w:w="3720" w:type="dxa"/>
            <w:tcBorders>
              <w:top w:val="single" w:sz="4" w:space="0" w:color="000000"/>
              <w:left w:val="single" w:sz="4" w:space="0" w:color="000000"/>
              <w:bottom w:val="single" w:sz="4" w:space="0" w:color="000000"/>
              <w:right w:val="single" w:sz="4" w:space="0" w:color="000000"/>
            </w:tcBorders>
          </w:tcPr>
          <w:p w14:paraId="2724CA1A" w14:textId="77777777" w:rsidR="0078185C" w:rsidRDefault="00000000">
            <w:pPr>
              <w:jc w:val="both"/>
            </w:pPr>
            <w:r>
              <w:t>Barren or Sparsely Vegetated</w:t>
            </w:r>
          </w:p>
        </w:tc>
      </w:tr>
      <w:tr w:rsidR="0078185C" w14:paraId="5AE48A43" w14:textId="77777777">
        <w:trPr>
          <w:cantSplit/>
        </w:trPr>
        <w:tc>
          <w:tcPr>
            <w:tcW w:w="5276" w:type="dxa"/>
            <w:gridSpan w:val="2"/>
            <w:tcBorders>
              <w:top w:val="single" w:sz="4" w:space="0" w:color="000000"/>
              <w:left w:val="single" w:sz="4" w:space="0" w:color="000000"/>
              <w:bottom w:val="single" w:sz="4" w:space="0" w:color="000000"/>
              <w:right w:val="single" w:sz="4" w:space="0" w:color="000000"/>
            </w:tcBorders>
          </w:tcPr>
          <w:p w14:paraId="50F40DEB" w14:textId="77777777" w:rsidR="0078185C" w:rsidRDefault="0078185C">
            <w:pPr>
              <w:jc w:val="both"/>
            </w:pPr>
          </w:p>
        </w:tc>
      </w:tr>
      <w:tr w:rsidR="0078185C" w14:paraId="5BBCE9EC" w14:textId="77777777">
        <w:tc>
          <w:tcPr>
            <w:tcW w:w="1556" w:type="dxa"/>
            <w:tcBorders>
              <w:top w:val="single" w:sz="4" w:space="0" w:color="000000"/>
              <w:left w:val="single" w:sz="4" w:space="0" w:color="000000"/>
              <w:bottom w:val="single" w:sz="4" w:space="0" w:color="000000"/>
              <w:right w:val="single" w:sz="4" w:space="0" w:color="000000"/>
            </w:tcBorders>
          </w:tcPr>
          <w:p w14:paraId="172F390E" w14:textId="77777777" w:rsidR="0078185C" w:rsidRDefault="00000000">
            <w:pPr>
              <w:jc w:val="both"/>
            </w:pPr>
            <w:r>
              <w:t>254</w:t>
            </w:r>
          </w:p>
        </w:tc>
        <w:tc>
          <w:tcPr>
            <w:tcW w:w="3720" w:type="dxa"/>
            <w:tcBorders>
              <w:top w:val="single" w:sz="4" w:space="0" w:color="000000"/>
              <w:left w:val="single" w:sz="4" w:space="0" w:color="000000"/>
              <w:bottom w:val="single" w:sz="4" w:space="0" w:color="000000"/>
              <w:right w:val="single" w:sz="4" w:space="0" w:color="000000"/>
            </w:tcBorders>
          </w:tcPr>
          <w:p w14:paraId="4890D803" w14:textId="77777777" w:rsidR="0078185C" w:rsidRDefault="00000000">
            <w:pPr>
              <w:jc w:val="both"/>
            </w:pPr>
            <w:r>
              <w:t>Unclassified</w:t>
            </w:r>
          </w:p>
        </w:tc>
      </w:tr>
      <w:tr w:rsidR="0078185C" w14:paraId="1609446D" w14:textId="77777777">
        <w:tc>
          <w:tcPr>
            <w:tcW w:w="1556" w:type="dxa"/>
            <w:tcBorders>
              <w:top w:val="single" w:sz="4" w:space="0" w:color="000000"/>
              <w:left w:val="single" w:sz="4" w:space="0" w:color="000000"/>
              <w:bottom w:val="single" w:sz="4" w:space="0" w:color="000000"/>
              <w:right w:val="single" w:sz="4" w:space="0" w:color="000000"/>
            </w:tcBorders>
          </w:tcPr>
          <w:p w14:paraId="6ACC075C" w14:textId="77777777" w:rsidR="0078185C" w:rsidRDefault="00000000">
            <w:pPr>
              <w:jc w:val="both"/>
            </w:pPr>
            <w:r>
              <w:t>255</w:t>
            </w:r>
          </w:p>
        </w:tc>
        <w:tc>
          <w:tcPr>
            <w:tcW w:w="3720" w:type="dxa"/>
            <w:tcBorders>
              <w:top w:val="single" w:sz="4" w:space="0" w:color="000000"/>
              <w:left w:val="single" w:sz="4" w:space="0" w:color="000000"/>
              <w:bottom w:val="single" w:sz="4" w:space="0" w:color="000000"/>
              <w:right w:val="single" w:sz="4" w:space="0" w:color="000000"/>
            </w:tcBorders>
          </w:tcPr>
          <w:p w14:paraId="6730D48E" w14:textId="77777777" w:rsidR="0078185C" w:rsidRDefault="00000000">
            <w:pPr>
              <w:jc w:val="both"/>
            </w:pPr>
            <w:r>
              <w:t>Missing Data</w:t>
            </w:r>
          </w:p>
        </w:tc>
      </w:tr>
    </w:tbl>
    <w:p w14:paraId="77A52294" w14:textId="77777777" w:rsidR="0078185C" w:rsidRDefault="0078185C">
      <w:pPr>
        <w:jc w:val="both"/>
        <w:rPr>
          <w:b/>
        </w:rPr>
      </w:pPr>
    </w:p>
    <w:p w14:paraId="007DCDA8" w14:textId="77777777" w:rsidR="0078185C" w:rsidRDefault="0078185C">
      <w:pPr>
        <w:jc w:val="both"/>
      </w:pPr>
    </w:p>
    <w:p w14:paraId="450EA2D7" w14:textId="77777777" w:rsidR="0078185C" w:rsidRDefault="0078185C">
      <w:pPr>
        <w:jc w:val="both"/>
      </w:pPr>
    </w:p>
    <w:p w14:paraId="3DD355C9" w14:textId="77777777" w:rsidR="0078185C" w:rsidRDefault="0078185C">
      <w:pPr>
        <w:jc w:val="both"/>
        <w:rPr>
          <w:b/>
          <w:bCs/>
        </w:rPr>
      </w:pPr>
    </w:p>
    <w:p w14:paraId="1A81F0B1" w14:textId="77777777" w:rsidR="0078185C" w:rsidRDefault="0078185C">
      <w:pPr>
        <w:jc w:val="both"/>
        <w:rPr>
          <w:b/>
        </w:rPr>
      </w:pPr>
    </w:p>
    <w:p w14:paraId="717AAFBA" w14:textId="77777777" w:rsidR="0078185C" w:rsidRDefault="0078185C">
      <w:pPr>
        <w:jc w:val="both"/>
        <w:rPr>
          <w:b/>
        </w:rPr>
      </w:pPr>
    </w:p>
    <w:p w14:paraId="56EE48EE" w14:textId="77777777" w:rsidR="0078185C" w:rsidRDefault="0078185C">
      <w:pPr>
        <w:jc w:val="both"/>
        <w:rPr>
          <w:b/>
        </w:rPr>
      </w:pPr>
    </w:p>
    <w:p w14:paraId="2908EB2C" w14:textId="77777777" w:rsidR="0078185C" w:rsidRDefault="0078185C">
      <w:pPr>
        <w:jc w:val="both"/>
        <w:rPr>
          <w:b/>
        </w:rPr>
      </w:pPr>
    </w:p>
    <w:p w14:paraId="121FD38A" w14:textId="77777777" w:rsidR="0078185C" w:rsidRDefault="0078185C">
      <w:pPr>
        <w:jc w:val="both"/>
        <w:rPr>
          <w:b/>
        </w:rPr>
      </w:pPr>
    </w:p>
    <w:p w14:paraId="1FE2DD96" w14:textId="77777777" w:rsidR="0078185C" w:rsidRDefault="0078185C">
      <w:pPr>
        <w:jc w:val="both"/>
        <w:rPr>
          <w:b/>
        </w:rPr>
      </w:pPr>
    </w:p>
    <w:p w14:paraId="27357532" w14:textId="77777777" w:rsidR="0078185C" w:rsidRDefault="0078185C">
      <w:pPr>
        <w:jc w:val="both"/>
        <w:rPr>
          <w:b/>
        </w:rPr>
      </w:pPr>
    </w:p>
    <w:p w14:paraId="07F023C8" w14:textId="77777777" w:rsidR="0078185C" w:rsidRDefault="0078185C">
      <w:pPr>
        <w:jc w:val="both"/>
        <w:rPr>
          <w:b/>
        </w:rPr>
      </w:pPr>
    </w:p>
    <w:p w14:paraId="4BDB5498" w14:textId="77777777" w:rsidR="0078185C" w:rsidRDefault="0078185C">
      <w:pPr>
        <w:jc w:val="both"/>
        <w:rPr>
          <w:b/>
        </w:rPr>
      </w:pPr>
    </w:p>
    <w:p w14:paraId="2916C19D" w14:textId="77777777" w:rsidR="0078185C" w:rsidRDefault="0078185C">
      <w:pPr>
        <w:jc w:val="both"/>
        <w:rPr>
          <w:b/>
        </w:rPr>
      </w:pPr>
    </w:p>
    <w:p w14:paraId="74869460" w14:textId="77777777" w:rsidR="0078185C" w:rsidRDefault="0078185C">
      <w:pPr>
        <w:jc w:val="both"/>
        <w:rPr>
          <w:b/>
        </w:rPr>
      </w:pPr>
    </w:p>
    <w:p w14:paraId="187F57B8" w14:textId="77777777" w:rsidR="0078185C" w:rsidRDefault="0078185C">
      <w:pPr>
        <w:jc w:val="both"/>
        <w:rPr>
          <w:b/>
        </w:rPr>
      </w:pPr>
    </w:p>
    <w:p w14:paraId="54738AF4" w14:textId="77777777" w:rsidR="0078185C" w:rsidRDefault="0078185C">
      <w:pPr>
        <w:jc w:val="both"/>
        <w:rPr>
          <w:b/>
        </w:rPr>
      </w:pPr>
    </w:p>
    <w:p w14:paraId="46ABBD8F" w14:textId="77777777" w:rsidR="0078185C" w:rsidRDefault="0078185C">
      <w:pPr>
        <w:jc w:val="both"/>
        <w:rPr>
          <w:b/>
        </w:rPr>
      </w:pPr>
    </w:p>
    <w:p w14:paraId="06BBA33E" w14:textId="77777777" w:rsidR="0078185C" w:rsidRDefault="0078185C">
      <w:pPr>
        <w:jc w:val="both"/>
        <w:rPr>
          <w:b/>
        </w:rPr>
      </w:pPr>
    </w:p>
    <w:p w14:paraId="3382A365" w14:textId="77777777" w:rsidR="0078185C" w:rsidRDefault="0078185C">
      <w:pPr>
        <w:jc w:val="both"/>
      </w:pPr>
    </w:p>
    <w:p w14:paraId="0FDF18C3" w14:textId="77777777" w:rsidR="0063439D" w:rsidRDefault="0063439D">
      <w:pPr>
        <w:jc w:val="both"/>
      </w:pPr>
    </w:p>
    <w:p w14:paraId="29A1E9B8" w14:textId="77777777" w:rsidR="0063439D" w:rsidRDefault="0063439D" w:rsidP="0063439D">
      <w:pPr>
        <w:ind w:firstLine="720"/>
        <w:jc w:val="both"/>
      </w:pPr>
      <w:r>
        <w:t xml:space="preserve">Given the global nature and daily time-step of data product processes, a broad classification scheme, which retains the essence of land cover, is necessary.  Since Collection 2 VIIRS products are designed at a 500m grid scale, it can be difficult to obtain accurate land cover in areas with complex vegetation, and misclassification can occur (Sexton et al., 2016).  However, studies have </w:t>
      </w:r>
      <w:r>
        <w:lastRenderedPageBreak/>
        <w:t>suggested that the MODIS vegetation maps are accurate to within 65-80%, with higher accuracies for pixels that are largely homogeneous, and allow for consistent monitoring of the global land cover (</w:t>
      </w:r>
      <w:proofErr w:type="spellStart"/>
      <w:r>
        <w:t>Friedl</w:t>
      </w:r>
      <w:proofErr w:type="spellEnd"/>
      <w:r>
        <w:t xml:space="preserve"> et al. 2010).</w:t>
      </w:r>
    </w:p>
    <w:p w14:paraId="45A50471" w14:textId="77777777" w:rsidR="0063439D" w:rsidRDefault="0063439D">
      <w:pPr>
        <w:jc w:val="both"/>
      </w:pPr>
    </w:p>
    <w:p w14:paraId="4868AFEB" w14:textId="77777777" w:rsidR="0078185C" w:rsidRDefault="00000000">
      <w:pPr>
        <w:pStyle w:val="Heading2"/>
      </w:pPr>
      <w:bookmarkStart w:id="13" w:name="_Toc181041984"/>
      <w:r>
        <w:t>2.2. The BPLUT and constant biome properties</w:t>
      </w:r>
      <w:bookmarkEnd w:id="13"/>
    </w:p>
    <w:p w14:paraId="5C71F136" w14:textId="77777777" w:rsidR="0078185C" w:rsidRDefault="0078185C">
      <w:pPr>
        <w:ind w:firstLine="720"/>
        <w:jc w:val="both"/>
      </w:pPr>
    </w:p>
    <w:p w14:paraId="2B42BCFB" w14:textId="412D5A64" w:rsidR="0078185C" w:rsidRDefault="00000000">
      <w:pPr>
        <w:ind w:firstLine="720"/>
        <w:jc w:val="both"/>
        <w:sectPr w:rsidR="0078185C">
          <w:headerReference w:type="default" r:id="rId17"/>
          <w:footerReference w:type="default" r:id="rId18"/>
          <w:pgSz w:w="12240" w:h="15840"/>
          <w:pgMar w:top="1440" w:right="1440" w:bottom="1440" w:left="1440" w:header="720" w:footer="720" w:gutter="0"/>
          <w:pgNumType w:start="1"/>
          <w:cols w:space="720"/>
          <w:formProt w:val="0"/>
          <w:docGrid w:linePitch="360"/>
        </w:sectPr>
      </w:pPr>
      <w:r>
        <w:t>Arguably, the most significant assumption made in the algorithm logic is that biome-specific physiological parameters do not vary with space or time.  These parameters are outlined in the BPLUT as shown in Table 2.2. The BPLUT constitutes the physiological framework for controlling simulated carbon sequestration. These biome-specific properties are not differentiated for different expressions of a given biome, nor are they varied at any time during the year. In other words, a semi-desert grassland in Mongolia is treated the same as a tallgrass prairie in the Midwestern United States. Likewise, a sparsely vegetated boreal evergreen needleleaf forest in Canada is functionally equivalent to its coastal temperate evergreen needleleaf forest counterpart.</w:t>
      </w:r>
      <w:r w:rsidR="00CB1270">
        <w:t xml:space="preserve">  Our previous BPLUT for MODIS was calibrated 10+ years ago (Zhao et al., 2005) with limited ground truth data for calibration (Zhao et al., 2005; </w:t>
      </w:r>
      <w:proofErr w:type="spellStart"/>
      <w:r w:rsidR="00CB1270" w:rsidRPr="00CB1270">
        <w:t>Heinsch</w:t>
      </w:r>
      <w:proofErr w:type="spellEnd"/>
      <w:r w:rsidR="00CB1270">
        <w:t xml:space="preserve"> et al., 2006). </w:t>
      </w:r>
      <w:r>
        <w:t xml:space="preserve"> </w:t>
      </w:r>
      <w:r w:rsidR="00CB1270">
        <w:t xml:space="preserve">Now with </w:t>
      </w:r>
      <w:r w:rsidR="00315A2B">
        <w:t xml:space="preserve">over 20+ years of </w:t>
      </w:r>
      <w:r w:rsidR="00CB1270">
        <w:t xml:space="preserve">long-term MODIS </w:t>
      </w:r>
      <w:r w:rsidR="00315A2B">
        <w:t xml:space="preserve">Collection 6.1 </w:t>
      </w:r>
      <w:r w:rsidR="00CB1270">
        <w:t xml:space="preserve">data and more available ground truth data, we have recalibrated BPLUT for MODIS (Endsley et al., 2023).  </w:t>
      </w:r>
      <w:r w:rsidR="00315A2B">
        <w:t xml:space="preserve">To </w:t>
      </w:r>
      <w:r w:rsidR="00D17D26">
        <w:t>achieve</w:t>
      </w:r>
      <w:r w:rsidR="00315A2B">
        <w:t xml:space="preserve"> </w:t>
      </w:r>
      <w:r w:rsidR="00D17D26">
        <w:t>same</w:t>
      </w:r>
      <w:r w:rsidR="00315A2B">
        <w:t xml:space="preserve"> estimated GPP and NPP between the C</w:t>
      </w:r>
      <w:r w:rsidR="00D17D26">
        <w:t>2</w:t>
      </w:r>
      <w:r w:rsidR="00CB1270">
        <w:t xml:space="preserve"> VIIRS</w:t>
      </w:r>
      <w:r w:rsidR="00D17D26">
        <w:t xml:space="preserve"> and C6.1 MODIS at bi</w:t>
      </w:r>
      <w:r w:rsidR="00B82FF9">
        <w:t>o</w:t>
      </w:r>
      <w:r w:rsidR="00D17D26">
        <w:t>me-type level</w:t>
      </w:r>
      <w:r w:rsidR="00CB1270">
        <w:t xml:space="preserve">, we </w:t>
      </w:r>
      <w:r w:rsidR="00920D37">
        <w:t xml:space="preserve">further adjusted </w:t>
      </w:r>
      <w:r w:rsidR="00DF08DA">
        <w:t xml:space="preserve">two parameters, </w:t>
      </w:r>
      <w:proofErr w:type="spellStart"/>
      <w:r w:rsidR="00DF08DA" w:rsidRPr="00B82FF9">
        <w:rPr>
          <w:i/>
          <w:iCs/>
        </w:rPr>
        <w:t>LUEmax</w:t>
      </w:r>
      <w:proofErr w:type="spellEnd"/>
      <w:r w:rsidR="00DF08DA">
        <w:t xml:space="preserve"> and </w:t>
      </w:r>
      <w:r w:rsidR="00DF08DA" w:rsidRPr="00B82FF9">
        <w:rPr>
          <w:i/>
          <w:iCs/>
        </w:rPr>
        <w:t>SLA</w:t>
      </w:r>
      <w:r w:rsidR="00DF08DA">
        <w:t xml:space="preserve">, in </w:t>
      </w:r>
      <w:r w:rsidR="00920D37">
        <w:t>the</w:t>
      </w:r>
      <w:r w:rsidR="00315A2B">
        <w:t xml:space="preserve"> MODIS-based recalibrated BPLUT </w:t>
      </w:r>
      <w:r w:rsidR="00D17D26">
        <w:t xml:space="preserve">as detailed in the next subsection. </w:t>
      </w:r>
    </w:p>
    <w:p w14:paraId="745ABAE8" w14:textId="7BB4C2B7" w:rsidR="0078185C" w:rsidRDefault="00207FA1">
      <w:pPr>
        <w:jc w:val="both"/>
        <w:rPr>
          <w:i/>
        </w:rPr>
      </w:pPr>
      <w:r>
        <w:rPr>
          <w:i/>
          <w:noProof/>
        </w:rPr>
        <w:lastRenderedPageBreak/>
        <mc:AlternateContent>
          <mc:Choice Requires="wps">
            <w:drawing>
              <wp:anchor distT="0" distB="0" distL="0" distR="0" simplePos="0" relativeHeight="11" behindDoc="0" locked="0" layoutInCell="1" allowOverlap="1" wp14:anchorId="3D29594D" wp14:editId="7CCA1F38">
                <wp:simplePos x="0" y="0"/>
                <wp:positionH relativeFrom="page">
                  <wp:posOffset>6770370</wp:posOffset>
                </wp:positionH>
                <wp:positionV relativeFrom="paragraph">
                  <wp:posOffset>2251075</wp:posOffset>
                </wp:positionV>
                <wp:extent cx="5930265" cy="264160"/>
                <wp:effectExtent l="953" t="0" r="1587" b="1588"/>
                <wp:wrapNone/>
                <wp:docPr id="18" name="Cuadro de texto 2"/>
                <wp:cNvGraphicFramePr/>
                <a:graphic xmlns:a="http://schemas.openxmlformats.org/drawingml/2006/main">
                  <a:graphicData uri="http://schemas.microsoft.com/office/word/2010/wordprocessingShape">
                    <wps:wsp>
                      <wps:cNvSpPr/>
                      <wps:spPr>
                        <a:xfrm rot="16200000">
                          <a:off x="0" y="0"/>
                          <a:ext cx="5930265" cy="264160"/>
                        </a:xfrm>
                        <a:prstGeom prst="rect">
                          <a:avLst/>
                        </a:prstGeom>
                        <a:solidFill>
                          <a:srgbClr val="FFFFFF"/>
                        </a:solidFill>
                        <a:ln w="9360">
                          <a:noFill/>
                        </a:ln>
                      </wps:spPr>
                      <wps:style>
                        <a:lnRef idx="0">
                          <a:scrgbClr r="0" g="0" b="0"/>
                        </a:lnRef>
                        <a:fillRef idx="0">
                          <a:scrgbClr r="0" g="0" b="0"/>
                        </a:fillRef>
                        <a:effectRef idx="0">
                          <a:scrgbClr r="0" g="0" b="0"/>
                        </a:effectRef>
                        <a:fontRef idx="minor"/>
                      </wps:style>
                      <wps:txbx>
                        <w:txbxContent>
                          <w:p w14:paraId="02FB50BE" w14:textId="1BB851E7" w:rsidR="0078185C" w:rsidRDefault="00000000">
                            <w:pPr>
                              <w:pStyle w:val="Header"/>
                              <w:rPr>
                                <w:sz w:val="20"/>
                              </w:rPr>
                            </w:pPr>
                            <w:r>
                              <w:rPr>
                                <w:rFonts w:ascii="Times New Roman" w:hAnsi="Times New Roman" w:cs="Times New Roman"/>
                                <w:color w:val="000000"/>
                                <w:sz w:val="20"/>
                              </w:rPr>
                              <w:t>Version 2.0,</w:t>
                            </w:r>
                            <w:r>
                              <w:rPr>
                                <w:color w:val="000000"/>
                              </w:rPr>
                              <w:t xml:space="preserve"> </w:t>
                            </w:r>
                            <w:r w:rsidR="00A51ECA">
                              <w:rPr>
                                <w:rFonts w:ascii="Times New Roman" w:hAnsi="Times New Roman" w:cs="Times New Roman"/>
                                <w:color w:val="000000"/>
                                <w:sz w:val="20"/>
                              </w:rPr>
                              <w:t>10</w:t>
                            </w:r>
                            <w:r>
                              <w:rPr>
                                <w:rFonts w:ascii="Times New Roman" w:hAnsi="Times New Roman" w:cs="Times New Roman"/>
                                <w:color w:val="000000"/>
                                <w:sz w:val="20"/>
                              </w:rPr>
                              <w:t>/</w:t>
                            </w:r>
                            <w:r w:rsidR="00207FA1">
                              <w:rPr>
                                <w:rFonts w:ascii="Times New Roman" w:hAnsi="Times New Roman" w:cs="Times New Roman"/>
                                <w:color w:val="000000"/>
                                <w:sz w:val="20"/>
                              </w:rPr>
                              <w:t>2</w:t>
                            </w:r>
                            <w:r w:rsidR="00833383">
                              <w:rPr>
                                <w:rFonts w:ascii="Times New Roman" w:hAnsi="Times New Roman" w:cs="Times New Roman"/>
                                <w:color w:val="000000"/>
                                <w:sz w:val="20"/>
                              </w:rPr>
                              <w:t>8</w:t>
                            </w:r>
                            <w:r>
                              <w:rPr>
                                <w:rFonts w:ascii="Times New Roman" w:hAnsi="Times New Roman" w:cs="Times New Roman"/>
                                <w:color w:val="000000"/>
                                <w:sz w:val="20"/>
                              </w:rPr>
                              <w:t>/202</w:t>
                            </w:r>
                            <w:r w:rsidR="00A51ECA">
                              <w:rPr>
                                <w:rFonts w:ascii="Times New Roman" w:hAnsi="Times New Roman" w:cs="Times New Roman"/>
                                <w:color w:val="000000"/>
                                <w:sz w:val="20"/>
                              </w:rPr>
                              <w:t>4</w:t>
                            </w:r>
                            <w:r>
                              <w:rPr>
                                <w:rFonts w:ascii="Times New Roman" w:hAnsi="Times New Roman" w:cs="Times New Roman"/>
                                <w:color w:val="000000"/>
                                <w:sz w:val="20"/>
                              </w:rPr>
                              <w:t xml:space="preserve">                                                                                                                     Page 11 of 3</w:t>
                            </w:r>
                            <w:r w:rsidR="00207FA1">
                              <w:rPr>
                                <w:rFonts w:ascii="Times New Roman" w:hAnsi="Times New Roman" w:cs="Times New Roman"/>
                                <w:color w:val="000000"/>
                                <w:sz w:val="20"/>
                              </w:rPr>
                              <w:t>7</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D29594D" id="Cuadro de texto 2" o:spid="_x0000_s1026" style="position:absolute;left:0;text-align:left;margin-left:533.1pt;margin-top:177.25pt;width:466.95pt;height:20.8pt;rotation:-90;z-index:1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" stroked="f" strokeweight=".26mm">
                <v:textbox>
                  <w:txbxContent>
                    <w:p w14:paraId="02FB50BE" w14:textId="1BB851E7" w:rsidR="0078185C" w:rsidRDefault="00000000">
                      <w:pPr>
                        <w:pStyle w:val="Header"/>
                        <w:rPr>
                          <w:sz w:val="20"/>
                        </w:rPr>
                      </w:pPr>
                      <w:r>
                        <w:rPr>
                          <w:rFonts w:ascii="Times New Roman" w:hAnsi="Times New Roman" w:cs="Times New Roman"/>
                          <w:color w:val="000000"/>
                          <w:sz w:val="20"/>
                        </w:rPr>
                        <w:t>Version 2.0,</w:t>
                      </w:r>
                      <w:r>
                        <w:rPr>
                          <w:color w:val="000000"/>
                        </w:rPr>
                        <w:t xml:space="preserve"> </w:t>
                      </w:r>
                      <w:r w:rsidR="00A51ECA">
                        <w:rPr>
                          <w:rFonts w:ascii="Times New Roman" w:hAnsi="Times New Roman" w:cs="Times New Roman"/>
                          <w:color w:val="000000"/>
                          <w:sz w:val="20"/>
                        </w:rPr>
                        <w:t>10</w:t>
                      </w:r>
                      <w:r>
                        <w:rPr>
                          <w:rFonts w:ascii="Times New Roman" w:hAnsi="Times New Roman" w:cs="Times New Roman"/>
                          <w:color w:val="000000"/>
                          <w:sz w:val="20"/>
                        </w:rPr>
                        <w:t>/</w:t>
                      </w:r>
                      <w:r w:rsidR="00207FA1">
                        <w:rPr>
                          <w:rFonts w:ascii="Times New Roman" w:hAnsi="Times New Roman" w:cs="Times New Roman"/>
                          <w:color w:val="000000"/>
                          <w:sz w:val="20"/>
                        </w:rPr>
                        <w:t>2</w:t>
                      </w:r>
                      <w:r w:rsidR="00833383">
                        <w:rPr>
                          <w:rFonts w:ascii="Times New Roman" w:hAnsi="Times New Roman" w:cs="Times New Roman"/>
                          <w:color w:val="000000"/>
                          <w:sz w:val="20"/>
                        </w:rPr>
                        <w:t>8</w:t>
                      </w:r>
                      <w:r>
                        <w:rPr>
                          <w:rFonts w:ascii="Times New Roman" w:hAnsi="Times New Roman" w:cs="Times New Roman"/>
                          <w:color w:val="000000"/>
                          <w:sz w:val="20"/>
                        </w:rPr>
                        <w:t>/202</w:t>
                      </w:r>
                      <w:r w:rsidR="00A51ECA">
                        <w:rPr>
                          <w:rFonts w:ascii="Times New Roman" w:hAnsi="Times New Roman" w:cs="Times New Roman"/>
                          <w:color w:val="000000"/>
                          <w:sz w:val="20"/>
                        </w:rPr>
                        <w:t>4</w:t>
                      </w:r>
                      <w:r>
                        <w:rPr>
                          <w:rFonts w:ascii="Times New Roman" w:hAnsi="Times New Roman" w:cs="Times New Roman"/>
                          <w:color w:val="000000"/>
                          <w:sz w:val="20"/>
                        </w:rPr>
                        <w:t xml:space="preserve">                                                                                                                     Page 11 of 3</w:t>
                      </w:r>
                      <w:r w:rsidR="00207FA1">
                        <w:rPr>
                          <w:rFonts w:ascii="Times New Roman" w:hAnsi="Times New Roman" w:cs="Times New Roman"/>
                          <w:color w:val="000000"/>
                          <w:sz w:val="20"/>
                        </w:rPr>
                        <w:t>7</w:t>
                      </w:r>
                    </w:p>
                  </w:txbxContent>
                </v:textbox>
                <w10:wrap anchorx="page"/>
              </v:rect>
            </w:pict>
          </mc:Fallback>
        </mc:AlternateContent>
      </w:r>
      <w:r w:rsidR="00A51ECA">
        <w:rPr>
          <w:i/>
          <w:noProof/>
        </w:rPr>
        <mc:AlternateContent>
          <mc:Choice Requires="wps">
            <w:drawing>
              <wp:anchor distT="0" distB="0" distL="0" distR="0" simplePos="0" relativeHeight="10" behindDoc="0" locked="0" layoutInCell="1" allowOverlap="1" wp14:anchorId="13EE1EDF" wp14:editId="6BCF76D2">
                <wp:simplePos x="0" y="0"/>
                <wp:positionH relativeFrom="leftMargin">
                  <wp:posOffset>-2666048</wp:posOffset>
                </wp:positionH>
                <wp:positionV relativeFrom="paragraph">
                  <wp:posOffset>2203303</wp:posOffset>
                </wp:positionV>
                <wp:extent cx="5930265" cy="358140"/>
                <wp:effectExtent l="5080" t="0" r="0" b="0"/>
                <wp:wrapNone/>
                <wp:docPr id="16" name="Cuadro de texto 2"/>
                <wp:cNvGraphicFramePr/>
                <a:graphic xmlns:a="http://schemas.openxmlformats.org/drawingml/2006/main">
                  <a:graphicData uri="http://schemas.microsoft.com/office/word/2010/wordprocessingShape">
                    <wps:wsp>
                      <wps:cNvSpPr/>
                      <wps:spPr>
                        <a:xfrm rot="16200000">
                          <a:off x="0" y="0"/>
                          <a:ext cx="5930265" cy="358140"/>
                        </a:xfrm>
                        <a:prstGeom prst="rect">
                          <a:avLst/>
                        </a:prstGeom>
                        <a:solidFill>
                          <a:srgbClr val="FFFFFF"/>
                        </a:solidFill>
                        <a:ln w="9360">
                          <a:noFill/>
                        </a:ln>
                      </wps:spPr>
                      <wps:style>
                        <a:lnRef idx="0">
                          <a:scrgbClr r="0" g="0" b="0"/>
                        </a:lnRef>
                        <a:fillRef idx="0">
                          <a:scrgbClr r="0" g="0" b="0"/>
                        </a:fillRef>
                        <a:effectRef idx="0">
                          <a:scrgbClr r="0" g="0" b="0"/>
                        </a:effectRef>
                        <a:fontRef idx="minor"/>
                      </wps:style>
                      <wps:txbx>
                        <w:txbxContent>
                          <w:p w14:paraId="456AC0C5" w14:textId="77777777" w:rsidR="0078185C" w:rsidRDefault="00000000">
                            <w:pPr>
                              <w:pStyle w:val="FrameContents"/>
                              <w:rPr>
                                <w:color w:val="000000"/>
                              </w:rPr>
                            </w:pPr>
                            <w:r>
                              <w:rPr>
                                <w:i/>
                                <w:iCs/>
                                <w:color w:val="000000"/>
                                <w:sz w:val="20"/>
                                <w:u w:val="single"/>
                              </w:rPr>
                              <w:t xml:space="preserve">VNP17/VJ117 User’s Guide                 </w:t>
                            </w:r>
                            <w:r>
                              <w:rPr>
                                <w:i/>
                                <w:iCs/>
                                <w:color w:val="000000"/>
                                <w:sz w:val="20"/>
                                <w:u w:val="single"/>
                              </w:rPr>
                              <w:tab/>
                              <w:t xml:space="preserve"> </w:t>
                            </w:r>
                            <w:r>
                              <w:rPr>
                                <w:i/>
                                <w:iCs/>
                                <w:color w:val="000000"/>
                                <w:sz w:val="20"/>
                                <w:u w:val="single"/>
                              </w:rPr>
                              <w:tab/>
                              <w:t xml:space="preserve">                                                    VIIRS Land Data Product                          </w:t>
                            </w:r>
                          </w:p>
                        </w:txbxContent>
                      </wps:txbx>
                      <wps:bodyPr>
                        <a:noAutofit/>
                      </wps:bodyPr>
                    </wps:wsp>
                  </a:graphicData>
                </a:graphic>
              </wp:anchor>
            </w:drawing>
          </mc:Choice>
          <mc:Fallback>
            <w:pict>
              <v:rect w14:anchorId="13EE1EDF" id="_x0000_s1027" style="position:absolute;left:0;text-align:left;margin-left:-209.95pt;margin-top:173.5pt;width:466.95pt;height:28.2pt;rotation:-90;z-index:10;visibility:visible;mso-wrap-style:square;mso-wrap-distance-left:0;mso-wrap-distance-top:0;mso-wrap-distance-right:0;mso-wrap-distance-bottom:0;mso-position-horizontal:absolute;mso-position-horizontal-relative:left-margin-area;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" stroked="f" strokeweight=".26mm">
                <v:textbox>
                  <w:txbxContent>
                    <w:p w14:paraId="456AC0C5" w14:textId="77777777" w:rsidR="0078185C" w:rsidRDefault="00000000">
                      <w:pPr>
                        <w:pStyle w:val="FrameContents"/>
                        <w:rPr>
                          <w:color w:val="000000"/>
                        </w:rPr>
                      </w:pPr>
                      <w:r>
                        <w:rPr>
                          <w:i/>
                          <w:iCs/>
                          <w:color w:val="000000"/>
                          <w:sz w:val="20"/>
                          <w:u w:val="single"/>
                        </w:rPr>
                        <w:t xml:space="preserve">VNP17/VJ117 User’s Guide                 </w:t>
                      </w:r>
                      <w:r>
                        <w:rPr>
                          <w:i/>
                          <w:iCs/>
                          <w:color w:val="000000"/>
                          <w:sz w:val="20"/>
                          <w:u w:val="single"/>
                        </w:rPr>
                        <w:tab/>
                        <w:t xml:space="preserve"> </w:t>
                      </w:r>
                      <w:r>
                        <w:rPr>
                          <w:i/>
                          <w:iCs/>
                          <w:color w:val="000000"/>
                          <w:sz w:val="20"/>
                          <w:u w:val="single"/>
                        </w:rPr>
                        <w:tab/>
                        <w:t xml:space="preserve">                                                    VIIRS Land Data Product                          </w:t>
                      </w:r>
                    </w:p>
                  </w:txbxContent>
                </v:textbox>
                <w10:wrap anchorx="margin"/>
              </v:rect>
            </w:pict>
          </mc:Fallback>
        </mc:AlternateContent>
      </w:r>
      <w:r w:rsidR="00A51ECA">
        <w:rPr>
          <w:b/>
          <w:i/>
        </w:rPr>
        <w:t>Table 2.2.</w:t>
      </w:r>
      <w:r w:rsidR="00A51ECA">
        <w:rPr>
          <w:i/>
        </w:rPr>
        <w:t xml:space="preserve">  Biome-Property-Look-Up-Table (BPLUT) for VIIRS C2 GPP/NPP algorithm with GMAO/NASA data and the Collection 2 VIIRS FPAR/LAI as inputs. The full names for the IGBP land cover classification system in </w:t>
      </w:r>
      <w:r w:rsidR="00A51ECA">
        <w:rPr>
          <w:bCs/>
          <w:i/>
        </w:rPr>
        <w:t>MCDLCHKM</w:t>
      </w:r>
      <w:r w:rsidR="00A51ECA">
        <w:rPr>
          <w:i/>
        </w:rPr>
        <w:t xml:space="preserve"> dataset (fieldname: Land_Cover_Type_1) are, Evergreen Needleleaf Forest (ENF), Evergreen Broadleaf Forest (EBF), Deciduous Needleleaf Forest (DNF), Deciduous Broadleaf Forest (DBF), Mixed forests (MF), Closed Shrublands (</w:t>
      </w:r>
      <w:proofErr w:type="spellStart"/>
      <w:r w:rsidR="00A51ECA">
        <w:rPr>
          <w:i/>
        </w:rPr>
        <w:t>CShrub</w:t>
      </w:r>
      <w:proofErr w:type="spellEnd"/>
      <w:r w:rsidR="00A51ECA">
        <w:rPr>
          <w:i/>
        </w:rPr>
        <w:t>), Open Shrublands (</w:t>
      </w:r>
      <w:proofErr w:type="spellStart"/>
      <w:r w:rsidR="00A51ECA">
        <w:rPr>
          <w:i/>
        </w:rPr>
        <w:t>OShrub</w:t>
      </w:r>
      <w:proofErr w:type="spellEnd"/>
      <w:r w:rsidR="00A51ECA">
        <w:rPr>
          <w:i/>
        </w:rPr>
        <w:t>), Woody Savannas (</w:t>
      </w:r>
      <w:proofErr w:type="spellStart"/>
      <w:r w:rsidR="00A51ECA">
        <w:rPr>
          <w:i/>
        </w:rPr>
        <w:t>WSavanna</w:t>
      </w:r>
      <w:proofErr w:type="spellEnd"/>
      <w:r w:rsidR="00A51ECA">
        <w:rPr>
          <w:i/>
        </w:rPr>
        <w:t>), Savannas (Savanna), Grassland (Grass), and Croplands (Crop). Note this BPLUT</w:t>
      </w:r>
      <w:r w:rsidR="00033BFB">
        <w:rPr>
          <w:i/>
        </w:rPr>
        <w:t xml:space="preserve"> for</w:t>
      </w:r>
      <w:r w:rsidR="00033BFB" w:rsidRPr="00033BFB">
        <w:rPr>
          <w:i/>
        </w:rPr>
        <w:t xml:space="preserve"> </w:t>
      </w:r>
      <w:r w:rsidR="00033BFB">
        <w:rPr>
          <w:i/>
        </w:rPr>
        <w:t>C2 VIIRS GPP/NPP</w:t>
      </w:r>
      <w:r w:rsidR="00A51ECA">
        <w:rPr>
          <w:i/>
        </w:rPr>
        <w:t xml:space="preserve"> is </w:t>
      </w:r>
      <w:r w:rsidR="00033BFB">
        <w:rPr>
          <w:i/>
        </w:rPr>
        <w:t>different from the current C6.1 MODIS one as it is an adjusted BPLUT from a recalibrated MODIS BPLUT (Endsley et al., 2023)</w:t>
      </w:r>
      <w:r w:rsidR="00A51ECA">
        <w:rPr>
          <w:i/>
        </w:rPr>
        <w:t>.</w:t>
      </w:r>
    </w:p>
    <w:tbl>
      <w:tblPr>
        <w:tblW w:w="12972" w:type="dxa"/>
        <w:tblLook w:val="04A0" w:firstRow="1" w:lastRow="0" w:firstColumn="1" w:lastColumn="0" w:noHBand="0" w:noVBand="1"/>
      </w:tblPr>
      <w:tblGrid>
        <w:gridCol w:w="1488"/>
        <w:gridCol w:w="1044"/>
        <w:gridCol w:w="1044"/>
        <w:gridCol w:w="1044"/>
        <w:gridCol w:w="1044"/>
        <w:gridCol w:w="1044"/>
        <w:gridCol w:w="1044"/>
        <w:gridCol w:w="1044"/>
        <w:gridCol w:w="1044"/>
        <w:gridCol w:w="1044"/>
        <w:gridCol w:w="1044"/>
        <w:gridCol w:w="1044"/>
      </w:tblGrid>
      <w:tr w:rsidR="00CF698A" w14:paraId="73F3B3F5" w14:textId="77777777" w:rsidTr="00CF698A">
        <w:trPr>
          <w:trHeight w:val="269"/>
        </w:trPr>
        <w:tc>
          <w:tcPr>
            <w:tcW w:w="1488" w:type="dxa"/>
            <w:tcBorders>
              <w:top w:val="single" w:sz="4" w:space="0" w:color="000000"/>
              <w:left w:val="single" w:sz="4" w:space="0" w:color="000000"/>
              <w:bottom w:val="double" w:sz="4" w:space="0" w:color="000000"/>
              <w:right w:val="single" w:sz="4" w:space="0" w:color="000000"/>
            </w:tcBorders>
          </w:tcPr>
          <w:p w14:paraId="6960BAEE" w14:textId="77777777" w:rsidR="0078185C" w:rsidRDefault="00000000">
            <w:pPr>
              <w:jc w:val="both"/>
              <w:rPr>
                <w:b/>
                <w:bCs/>
                <w:color w:val="000000"/>
                <w:sz w:val="20"/>
                <w:szCs w:val="20"/>
              </w:rPr>
            </w:pPr>
            <w:r>
              <w:rPr>
                <w:b/>
                <w:bCs/>
                <w:color w:val="000000"/>
                <w:sz w:val="20"/>
                <w:szCs w:val="20"/>
              </w:rPr>
              <w:t>UMD_VEG_LC</w:t>
            </w:r>
          </w:p>
        </w:tc>
        <w:tc>
          <w:tcPr>
            <w:tcW w:w="1044" w:type="dxa"/>
            <w:tcBorders>
              <w:top w:val="single" w:sz="4" w:space="0" w:color="000000"/>
              <w:left w:val="single" w:sz="4" w:space="0" w:color="000000"/>
              <w:bottom w:val="double" w:sz="4" w:space="0" w:color="000000"/>
              <w:right w:val="single" w:sz="4" w:space="0" w:color="000000"/>
            </w:tcBorders>
          </w:tcPr>
          <w:p w14:paraId="2FCD9964" w14:textId="77777777" w:rsidR="0078185C" w:rsidRDefault="00000000">
            <w:pPr>
              <w:jc w:val="both"/>
              <w:rPr>
                <w:b/>
                <w:bCs/>
                <w:color w:val="000000"/>
                <w:sz w:val="20"/>
                <w:szCs w:val="20"/>
              </w:rPr>
            </w:pPr>
            <w:r>
              <w:rPr>
                <w:b/>
                <w:bCs/>
                <w:color w:val="000000"/>
                <w:sz w:val="20"/>
                <w:szCs w:val="20"/>
              </w:rPr>
              <w:t>ENF</w:t>
            </w:r>
          </w:p>
        </w:tc>
        <w:tc>
          <w:tcPr>
            <w:tcW w:w="1044" w:type="dxa"/>
            <w:tcBorders>
              <w:top w:val="single" w:sz="4" w:space="0" w:color="000000"/>
              <w:left w:val="single" w:sz="4" w:space="0" w:color="000000"/>
              <w:bottom w:val="double" w:sz="4" w:space="0" w:color="000000"/>
              <w:right w:val="single" w:sz="4" w:space="0" w:color="000000"/>
            </w:tcBorders>
          </w:tcPr>
          <w:p w14:paraId="01E0E354" w14:textId="77777777" w:rsidR="0078185C" w:rsidRDefault="00000000">
            <w:pPr>
              <w:jc w:val="both"/>
              <w:rPr>
                <w:b/>
                <w:bCs/>
                <w:color w:val="000000"/>
                <w:sz w:val="20"/>
                <w:szCs w:val="20"/>
              </w:rPr>
            </w:pPr>
            <w:r>
              <w:rPr>
                <w:b/>
                <w:bCs/>
                <w:color w:val="000000"/>
                <w:sz w:val="20"/>
                <w:szCs w:val="20"/>
              </w:rPr>
              <w:t>EBF</w:t>
            </w:r>
          </w:p>
        </w:tc>
        <w:tc>
          <w:tcPr>
            <w:tcW w:w="1044" w:type="dxa"/>
            <w:tcBorders>
              <w:top w:val="single" w:sz="4" w:space="0" w:color="000000"/>
              <w:left w:val="single" w:sz="4" w:space="0" w:color="000000"/>
              <w:bottom w:val="double" w:sz="4" w:space="0" w:color="000000"/>
              <w:right w:val="single" w:sz="4" w:space="0" w:color="000000"/>
            </w:tcBorders>
          </w:tcPr>
          <w:p w14:paraId="0B2154DC" w14:textId="77777777" w:rsidR="0078185C" w:rsidRDefault="00000000">
            <w:pPr>
              <w:jc w:val="both"/>
              <w:rPr>
                <w:b/>
                <w:bCs/>
                <w:color w:val="000000"/>
                <w:sz w:val="20"/>
                <w:szCs w:val="20"/>
              </w:rPr>
            </w:pPr>
            <w:r>
              <w:rPr>
                <w:b/>
                <w:bCs/>
                <w:color w:val="000000"/>
                <w:sz w:val="20"/>
                <w:szCs w:val="20"/>
              </w:rPr>
              <w:t>DNF</w:t>
            </w:r>
          </w:p>
        </w:tc>
        <w:tc>
          <w:tcPr>
            <w:tcW w:w="1044" w:type="dxa"/>
            <w:tcBorders>
              <w:top w:val="single" w:sz="4" w:space="0" w:color="000000"/>
              <w:left w:val="single" w:sz="4" w:space="0" w:color="000000"/>
              <w:bottom w:val="double" w:sz="4" w:space="0" w:color="000000"/>
              <w:right w:val="single" w:sz="4" w:space="0" w:color="000000"/>
            </w:tcBorders>
          </w:tcPr>
          <w:p w14:paraId="70B66484" w14:textId="77777777" w:rsidR="0078185C" w:rsidRDefault="00000000">
            <w:pPr>
              <w:jc w:val="both"/>
              <w:rPr>
                <w:b/>
                <w:bCs/>
                <w:color w:val="000000"/>
                <w:sz w:val="20"/>
                <w:szCs w:val="20"/>
              </w:rPr>
            </w:pPr>
            <w:r>
              <w:rPr>
                <w:b/>
                <w:bCs/>
                <w:color w:val="000000"/>
                <w:sz w:val="20"/>
                <w:szCs w:val="20"/>
              </w:rPr>
              <w:t>DBF</w:t>
            </w:r>
          </w:p>
        </w:tc>
        <w:tc>
          <w:tcPr>
            <w:tcW w:w="1044" w:type="dxa"/>
            <w:tcBorders>
              <w:top w:val="single" w:sz="4" w:space="0" w:color="000000"/>
              <w:left w:val="single" w:sz="4" w:space="0" w:color="000000"/>
              <w:bottom w:val="double" w:sz="4" w:space="0" w:color="000000"/>
              <w:right w:val="single" w:sz="4" w:space="0" w:color="000000"/>
            </w:tcBorders>
          </w:tcPr>
          <w:p w14:paraId="62A48347" w14:textId="77777777" w:rsidR="0078185C" w:rsidRDefault="00000000">
            <w:pPr>
              <w:jc w:val="both"/>
              <w:rPr>
                <w:b/>
                <w:bCs/>
                <w:color w:val="000000"/>
                <w:sz w:val="20"/>
                <w:szCs w:val="20"/>
              </w:rPr>
            </w:pPr>
            <w:r>
              <w:rPr>
                <w:b/>
                <w:bCs/>
                <w:color w:val="000000"/>
                <w:sz w:val="20"/>
                <w:szCs w:val="20"/>
              </w:rPr>
              <w:t>MF</w:t>
            </w:r>
          </w:p>
        </w:tc>
        <w:tc>
          <w:tcPr>
            <w:tcW w:w="1044" w:type="dxa"/>
            <w:tcBorders>
              <w:top w:val="single" w:sz="4" w:space="0" w:color="000000"/>
              <w:left w:val="single" w:sz="4" w:space="0" w:color="000000"/>
              <w:bottom w:val="double" w:sz="4" w:space="0" w:color="000000"/>
              <w:right w:val="single" w:sz="4" w:space="0" w:color="000000"/>
            </w:tcBorders>
          </w:tcPr>
          <w:p w14:paraId="74C34159" w14:textId="77777777" w:rsidR="0078185C" w:rsidRDefault="00000000">
            <w:pPr>
              <w:jc w:val="both"/>
              <w:rPr>
                <w:b/>
                <w:bCs/>
                <w:color w:val="000000"/>
                <w:sz w:val="20"/>
                <w:szCs w:val="20"/>
              </w:rPr>
            </w:pPr>
            <w:proofErr w:type="spellStart"/>
            <w:r>
              <w:rPr>
                <w:b/>
                <w:bCs/>
                <w:color w:val="000000"/>
                <w:sz w:val="20"/>
                <w:szCs w:val="20"/>
              </w:rPr>
              <w:t>CShrub</w:t>
            </w:r>
            <w:proofErr w:type="spellEnd"/>
          </w:p>
        </w:tc>
        <w:tc>
          <w:tcPr>
            <w:tcW w:w="1044" w:type="dxa"/>
            <w:tcBorders>
              <w:top w:val="single" w:sz="4" w:space="0" w:color="000000"/>
              <w:left w:val="single" w:sz="4" w:space="0" w:color="000000"/>
              <w:bottom w:val="double" w:sz="4" w:space="0" w:color="000000"/>
              <w:right w:val="single" w:sz="4" w:space="0" w:color="000000"/>
            </w:tcBorders>
          </w:tcPr>
          <w:p w14:paraId="684E3ACC" w14:textId="77777777" w:rsidR="0078185C" w:rsidRDefault="00000000">
            <w:pPr>
              <w:jc w:val="both"/>
              <w:rPr>
                <w:b/>
                <w:bCs/>
                <w:color w:val="000000"/>
                <w:sz w:val="20"/>
                <w:szCs w:val="20"/>
              </w:rPr>
            </w:pPr>
            <w:proofErr w:type="spellStart"/>
            <w:r>
              <w:rPr>
                <w:b/>
                <w:bCs/>
                <w:color w:val="000000"/>
                <w:sz w:val="20"/>
                <w:szCs w:val="20"/>
              </w:rPr>
              <w:t>OShrub</w:t>
            </w:r>
            <w:proofErr w:type="spellEnd"/>
          </w:p>
        </w:tc>
        <w:tc>
          <w:tcPr>
            <w:tcW w:w="1044" w:type="dxa"/>
            <w:tcBorders>
              <w:top w:val="single" w:sz="4" w:space="0" w:color="000000"/>
              <w:left w:val="single" w:sz="4" w:space="0" w:color="000000"/>
              <w:bottom w:val="double" w:sz="4" w:space="0" w:color="000000"/>
              <w:right w:val="single" w:sz="4" w:space="0" w:color="000000"/>
            </w:tcBorders>
          </w:tcPr>
          <w:p w14:paraId="43C9383D" w14:textId="77777777" w:rsidR="0078185C" w:rsidRDefault="00000000">
            <w:pPr>
              <w:jc w:val="both"/>
              <w:rPr>
                <w:b/>
                <w:bCs/>
                <w:color w:val="000000"/>
                <w:sz w:val="16"/>
                <w:szCs w:val="16"/>
              </w:rPr>
            </w:pPr>
            <w:r>
              <w:rPr>
                <w:b/>
                <w:bCs/>
                <w:color w:val="000000"/>
                <w:sz w:val="16"/>
                <w:szCs w:val="16"/>
              </w:rPr>
              <w:t>Woody</w:t>
            </w:r>
          </w:p>
          <w:p w14:paraId="04B89547" w14:textId="77777777" w:rsidR="0078185C" w:rsidRDefault="00000000">
            <w:pPr>
              <w:jc w:val="both"/>
              <w:rPr>
                <w:b/>
                <w:bCs/>
                <w:color w:val="000000"/>
                <w:sz w:val="16"/>
                <w:szCs w:val="16"/>
              </w:rPr>
            </w:pPr>
            <w:r>
              <w:rPr>
                <w:b/>
                <w:bCs/>
                <w:color w:val="000000"/>
                <w:sz w:val="16"/>
                <w:szCs w:val="16"/>
              </w:rPr>
              <w:t>Savanna</w:t>
            </w:r>
          </w:p>
        </w:tc>
        <w:tc>
          <w:tcPr>
            <w:tcW w:w="1044" w:type="dxa"/>
            <w:tcBorders>
              <w:top w:val="single" w:sz="4" w:space="0" w:color="000000"/>
              <w:left w:val="single" w:sz="4" w:space="0" w:color="000000"/>
              <w:bottom w:val="double" w:sz="4" w:space="0" w:color="000000"/>
              <w:right w:val="single" w:sz="4" w:space="0" w:color="000000"/>
            </w:tcBorders>
          </w:tcPr>
          <w:p w14:paraId="5D4A89C1" w14:textId="77777777" w:rsidR="0078185C" w:rsidRDefault="00000000">
            <w:pPr>
              <w:jc w:val="both"/>
              <w:rPr>
                <w:b/>
                <w:bCs/>
                <w:color w:val="000000"/>
                <w:sz w:val="20"/>
                <w:szCs w:val="20"/>
              </w:rPr>
            </w:pPr>
            <w:r>
              <w:rPr>
                <w:b/>
                <w:bCs/>
                <w:color w:val="000000"/>
                <w:sz w:val="20"/>
                <w:szCs w:val="20"/>
              </w:rPr>
              <w:t>Savanna</w:t>
            </w:r>
          </w:p>
        </w:tc>
        <w:tc>
          <w:tcPr>
            <w:tcW w:w="1044" w:type="dxa"/>
            <w:tcBorders>
              <w:top w:val="single" w:sz="4" w:space="0" w:color="000000"/>
              <w:left w:val="single" w:sz="4" w:space="0" w:color="000000"/>
              <w:bottom w:val="double" w:sz="4" w:space="0" w:color="000000"/>
              <w:right w:val="single" w:sz="4" w:space="0" w:color="000000"/>
            </w:tcBorders>
          </w:tcPr>
          <w:p w14:paraId="112FE934" w14:textId="77777777" w:rsidR="0078185C" w:rsidRDefault="00000000">
            <w:pPr>
              <w:jc w:val="both"/>
              <w:rPr>
                <w:b/>
                <w:bCs/>
                <w:color w:val="000000"/>
                <w:sz w:val="20"/>
                <w:szCs w:val="20"/>
              </w:rPr>
            </w:pPr>
            <w:r>
              <w:rPr>
                <w:b/>
                <w:bCs/>
                <w:color w:val="000000"/>
                <w:sz w:val="20"/>
                <w:szCs w:val="20"/>
              </w:rPr>
              <w:t>Grass</w:t>
            </w:r>
          </w:p>
        </w:tc>
        <w:tc>
          <w:tcPr>
            <w:tcW w:w="1044" w:type="dxa"/>
            <w:tcBorders>
              <w:top w:val="single" w:sz="4" w:space="0" w:color="000000"/>
              <w:left w:val="single" w:sz="4" w:space="0" w:color="000000"/>
              <w:bottom w:val="double" w:sz="4" w:space="0" w:color="000000"/>
              <w:right w:val="single" w:sz="4" w:space="0" w:color="000000"/>
            </w:tcBorders>
          </w:tcPr>
          <w:p w14:paraId="0B81A0B4" w14:textId="77777777" w:rsidR="0078185C" w:rsidRDefault="00000000">
            <w:pPr>
              <w:jc w:val="both"/>
              <w:rPr>
                <w:b/>
                <w:bCs/>
                <w:color w:val="000000"/>
                <w:sz w:val="20"/>
                <w:szCs w:val="20"/>
              </w:rPr>
            </w:pPr>
            <w:r>
              <w:rPr>
                <w:b/>
                <w:bCs/>
                <w:color w:val="000000"/>
                <w:sz w:val="20"/>
                <w:szCs w:val="20"/>
              </w:rPr>
              <w:t>Crop</w:t>
            </w:r>
          </w:p>
        </w:tc>
      </w:tr>
      <w:tr w:rsidR="003F082E" w14:paraId="77EF6142" w14:textId="77777777" w:rsidTr="00CF698A">
        <w:trPr>
          <w:trHeight w:val="269"/>
        </w:trPr>
        <w:tc>
          <w:tcPr>
            <w:tcW w:w="1488" w:type="dxa"/>
            <w:tcBorders>
              <w:top w:val="double" w:sz="4" w:space="0" w:color="000000"/>
              <w:left w:val="single" w:sz="4" w:space="0" w:color="000000"/>
              <w:bottom w:val="single" w:sz="4" w:space="0" w:color="000000"/>
              <w:right w:val="single" w:sz="4" w:space="0" w:color="000000"/>
            </w:tcBorders>
            <w:shd w:val="clear" w:color="auto" w:fill="FFFFFF" w:themeFill="background1"/>
          </w:tcPr>
          <w:p w14:paraId="1D2FC90F" w14:textId="77777777" w:rsidR="0078185C" w:rsidRDefault="00000000">
            <w:pPr>
              <w:jc w:val="both"/>
              <w:rPr>
                <w:bCs/>
                <w:color w:val="000000"/>
                <w:sz w:val="20"/>
                <w:szCs w:val="20"/>
                <w:lang w:val="es-ES"/>
              </w:rPr>
            </w:pPr>
            <w:proofErr w:type="spellStart"/>
            <w:r>
              <w:rPr>
                <w:bCs/>
                <w:color w:val="000000"/>
                <w:sz w:val="20"/>
                <w:szCs w:val="20"/>
                <w:lang w:val="es-ES"/>
              </w:rPr>
              <w:t>LUEmax</w:t>
            </w:r>
            <w:proofErr w:type="spellEnd"/>
            <w:r>
              <w:rPr>
                <w:bCs/>
                <w:color w:val="000000"/>
                <w:sz w:val="20"/>
                <w:szCs w:val="20"/>
                <w:lang w:val="es-ES"/>
              </w:rPr>
              <w:t xml:space="preserve"> (</w:t>
            </w:r>
            <w:proofErr w:type="spellStart"/>
            <w:r>
              <w:rPr>
                <w:bCs/>
                <w:color w:val="000000"/>
                <w:sz w:val="20"/>
                <w:szCs w:val="20"/>
                <w:lang w:val="es-ES"/>
              </w:rPr>
              <w:t>KgC</w:t>
            </w:r>
            <w:proofErr w:type="spellEnd"/>
            <w:r>
              <w:rPr>
                <w:bCs/>
                <w:color w:val="000000"/>
                <w:sz w:val="20"/>
                <w:szCs w:val="20"/>
                <w:lang w:val="es-ES"/>
              </w:rPr>
              <w:t>/m</w:t>
            </w:r>
            <w:r>
              <w:rPr>
                <w:bCs/>
                <w:color w:val="000000"/>
                <w:sz w:val="20"/>
                <w:szCs w:val="20"/>
                <w:vertAlign w:val="superscript"/>
                <w:lang w:val="es-ES"/>
              </w:rPr>
              <w:t>2</w:t>
            </w:r>
            <w:r>
              <w:rPr>
                <w:bCs/>
                <w:color w:val="000000"/>
                <w:sz w:val="20"/>
                <w:szCs w:val="20"/>
                <w:lang w:val="es-ES"/>
              </w:rPr>
              <w:t>/d/MJ)</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1C068AE1" w14:textId="1475234A" w:rsidR="0078185C" w:rsidRDefault="003F082E">
            <w:pPr>
              <w:jc w:val="both"/>
              <w:rPr>
                <w:color w:val="000000"/>
                <w:sz w:val="20"/>
                <w:szCs w:val="20"/>
              </w:rPr>
            </w:pPr>
            <w:r w:rsidRPr="003F082E">
              <w:rPr>
                <w:color w:val="000000"/>
                <w:sz w:val="20"/>
                <w:szCs w:val="20"/>
              </w:rPr>
              <w:t>0.001031459</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7737924C" w14:textId="56C078DB" w:rsidR="0078185C" w:rsidRDefault="003F082E">
            <w:pPr>
              <w:jc w:val="both"/>
              <w:rPr>
                <w:color w:val="000000"/>
                <w:sz w:val="20"/>
                <w:szCs w:val="20"/>
              </w:rPr>
            </w:pPr>
            <w:r w:rsidRPr="003F082E">
              <w:rPr>
                <w:color w:val="000000"/>
                <w:sz w:val="20"/>
                <w:szCs w:val="20"/>
              </w:rPr>
              <w:t>0.0012936</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66DF6355" w14:textId="0BEC2F76" w:rsidR="0078185C" w:rsidRDefault="003F082E">
            <w:pPr>
              <w:jc w:val="both"/>
              <w:rPr>
                <w:color w:val="000000"/>
                <w:sz w:val="20"/>
                <w:szCs w:val="20"/>
              </w:rPr>
            </w:pPr>
            <w:r w:rsidRPr="003F082E">
              <w:rPr>
                <w:color w:val="000000"/>
                <w:sz w:val="20"/>
                <w:szCs w:val="20"/>
              </w:rPr>
              <w:t>0.00126702</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0D8ADD37" w14:textId="0BAB69B3" w:rsidR="0078185C" w:rsidRDefault="003F082E">
            <w:pPr>
              <w:jc w:val="both"/>
              <w:rPr>
                <w:color w:val="000000"/>
                <w:sz w:val="20"/>
                <w:szCs w:val="20"/>
              </w:rPr>
            </w:pPr>
            <w:r w:rsidRPr="003F082E">
              <w:rPr>
                <w:color w:val="000000"/>
                <w:sz w:val="20"/>
                <w:szCs w:val="20"/>
              </w:rPr>
              <w:t>0.001593787</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5347E5F1" w14:textId="60751467" w:rsidR="0078185C" w:rsidRDefault="003F082E">
            <w:pPr>
              <w:jc w:val="both"/>
              <w:rPr>
                <w:color w:val="000000"/>
                <w:sz w:val="20"/>
                <w:szCs w:val="20"/>
              </w:rPr>
            </w:pPr>
            <w:r w:rsidRPr="003F082E">
              <w:rPr>
                <w:color w:val="000000"/>
                <w:sz w:val="20"/>
                <w:szCs w:val="20"/>
              </w:rPr>
              <w:t>0.001382713</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1EE63C5C" w14:textId="0E4D3AF5" w:rsidR="0078185C" w:rsidRDefault="003F082E">
            <w:pPr>
              <w:jc w:val="both"/>
              <w:rPr>
                <w:color w:val="000000"/>
                <w:sz w:val="20"/>
                <w:szCs w:val="20"/>
              </w:rPr>
            </w:pPr>
            <w:r w:rsidRPr="003F082E">
              <w:rPr>
                <w:color w:val="000000"/>
                <w:sz w:val="20"/>
                <w:szCs w:val="20"/>
              </w:rPr>
              <w:t>0.000848287</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5D0CC36B" w14:textId="7074584B" w:rsidR="0078185C" w:rsidRDefault="003F082E">
            <w:pPr>
              <w:jc w:val="both"/>
              <w:rPr>
                <w:color w:val="000000"/>
                <w:sz w:val="20"/>
                <w:szCs w:val="20"/>
              </w:rPr>
            </w:pPr>
            <w:r w:rsidRPr="003F082E">
              <w:rPr>
                <w:color w:val="000000"/>
                <w:sz w:val="20"/>
                <w:szCs w:val="20"/>
              </w:rPr>
              <w:t>0.000800085</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4EC2C02F" w14:textId="54C32686" w:rsidR="0078185C" w:rsidRDefault="003F082E">
            <w:pPr>
              <w:jc w:val="both"/>
              <w:rPr>
                <w:color w:val="000000"/>
                <w:sz w:val="20"/>
                <w:szCs w:val="20"/>
              </w:rPr>
            </w:pPr>
            <w:r w:rsidRPr="003F082E">
              <w:rPr>
                <w:color w:val="000000"/>
                <w:sz w:val="20"/>
                <w:szCs w:val="20"/>
              </w:rPr>
              <w:t>0.001028851</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5535BC0B" w14:textId="4C0BE7DE" w:rsidR="0078185C" w:rsidRDefault="003F082E">
            <w:pPr>
              <w:jc w:val="both"/>
              <w:rPr>
                <w:color w:val="000000"/>
                <w:sz w:val="20"/>
                <w:szCs w:val="20"/>
              </w:rPr>
            </w:pPr>
            <w:r w:rsidRPr="003F082E">
              <w:rPr>
                <w:color w:val="000000"/>
                <w:sz w:val="20"/>
                <w:szCs w:val="20"/>
              </w:rPr>
              <w:t>0.001081335</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027FD432" w14:textId="4DA9FC28" w:rsidR="0078185C" w:rsidRDefault="003F082E">
            <w:pPr>
              <w:jc w:val="both"/>
              <w:rPr>
                <w:color w:val="000000"/>
                <w:sz w:val="20"/>
                <w:szCs w:val="20"/>
              </w:rPr>
            </w:pPr>
            <w:r w:rsidRPr="003F082E">
              <w:rPr>
                <w:color w:val="000000"/>
                <w:sz w:val="20"/>
                <w:szCs w:val="20"/>
              </w:rPr>
              <w:t>0.001301833</w:t>
            </w:r>
          </w:p>
        </w:tc>
        <w:tc>
          <w:tcPr>
            <w:tcW w:w="1044" w:type="dxa"/>
            <w:tcBorders>
              <w:top w:val="double" w:sz="4" w:space="0" w:color="000000"/>
              <w:left w:val="single" w:sz="4" w:space="0" w:color="000000"/>
              <w:bottom w:val="single" w:sz="4" w:space="0" w:color="000000"/>
              <w:right w:val="single" w:sz="4" w:space="0" w:color="000000"/>
            </w:tcBorders>
            <w:shd w:val="clear" w:color="auto" w:fill="FFFFFF" w:themeFill="background1"/>
            <w:vAlign w:val="bottom"/>
          </w:tcPr>
          <w:p w14:paraId="50E7310E" w14:textId="25DE5DBB" w:rsidR="0078185C" w:rsidRDefault="003F082E">
            <w:pPr>
              <w:jc w:val="both"/>
              <w:rPr>
                <w:color w:val="000000"/>
                <w:sz w:val="20"/>
                <w:szCs w:val="20"/>
              </w:rPr>
            </w:pPr>
            <w:r w:rsidRPr="003F082E">
              <w:rPr>
                <w:color w:val="000000"/>
                <w:sz w:val="20"/>
                <w:szCs w:val="20"/>
              </w:rPr>
              <w:t>0.001848885</w:t>
            </w:r>
          </w:p>
        </w:tc>
      </w:tr>
      <w:tr w:rsidR="003F082E" w14:paraId="66149F6D"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C514882" w14:textId="77777777" w:rsidR="0078185C" w:rsidRDefault="00000000">
            <w:pPr>
              <w:jc w:val="both"/>
              <w:rPr>
                <w:bCs/>
                <w:color w:val="000000"/>
                <w:sz w:val="20"/>
                <w:szCs w:val="20"/>
              </w:rPr>
            </w:pPr>
            <w:proofErr w:type="spellStart"/>
            <w:r>
              <w:rPr>
                <w:bCs/>
                <w:color w:val="000000"/>
                <w:sz w:val="20"/>
                <w:szCs w:val="20"/>
              </w:rPr>
              <w:t>Tmin_min</w:t>
            </w:r>
            <w:proofErr w:type="spellEnd"/>
            <w:r>
              <w:rPr>
                <w:bCs/>
                <w:color w:val="000000"/>
                <w:sz w:val="20"/>
                <w:szCs w:val="20"/>
              </w:rPr>
              <w:t xml:space="preserve"> (C)</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56735A7"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F3FA34B"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976E40E"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47DBBCF" w14:textId="77777777" w:rsidR="0078185C" w:rsidRDefault="00000000">
            <w:pPr>
              <w:jc w:val="both"/>
              <w:rPr>
                <w:color w:val="000000"/>
                <w:sz w:val="20"/>
                <w:szCs w:val="20"/>
              </w:rPr>
            </w:pPr>
            <w:r>
              <w:rPr>
                <w:color w:val="000000"/>
                <w:sz w:val="20"/>
                <w:szCs w:val="20"/>
              </w:rPr>
              <w:t>-6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6EB5C67" w14:textId="77777777" w:rsidR="0078185C" w:rsidRDefault="00000000">
            <w:pPr>
              <w:jc w:val="both"/>
              <w:rPr>
                <w:color w:val="000000"/>
                <w:sz w:val="20"/>
                <w:szCs w:val="20"/>
              </w:rPr>
            </w:pPr>
            <w:r>
              <w:rPr>
                <w:color w:val="000000"/>
                <w:sz w:val="20"/>
                <w:szCs w:val="20"/>
              </w:rPr>
              <w:t>-7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514C39C"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315896A"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6E92581"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24AC19C"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C8ED4EC" w14:textId="77777777" w:rsidR="0078185C" w:rsidRDefault="00000000">
            <w:pPr>
              <w:jc w:val="both"/>
              <w:rPr>
                <w:color w:val="000000"/>
                <w:sz w:val="20"/>
                <w:szCs w:val="20"/>
              </w:rPr>
            </w:pPr>
            <w:r>
              <w:rPr>
                <w:color w:val="000000"/>
                <w:sz w:val="20"/>
                <w:szCs w:val="20"/>
              </w:rPr>
              <w:t>-8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0EF8592" w14:textId="77777777" w:rsidR="0078185C" w:rsidRDefault="00000000">
            <w:pPr>
              <w:jc w:val="both"/>
              <w:rPr>
                <w:color w:val="000000"/>
                <w:sz w:val="20"/>
                <w:szCs w:val="20"/>
              </w:rPr>
            </w:pPr>
            <w:r>
              <w:rPr>
                <w:color w:val="000000"/>
                <w:sz w:val="20"/>
                <w:szCs w:val="20"/>
              </w:rPr>
              <w:t>-8</w:t>
            </w:r>
          </w:p>
        </w:tc>
      </w:tr>
      <w:tr w:rsidR="003F082E" w14:paraId="005C6180"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96ABB7" w14:textId="77777777" w:rsidR="0078185C" w:rsidRDefault="00000000">
            <w:pPr>
              <w:jc w:val="both"/>
              <w:rPr>
                <w:bCs/>
                <w:color w:val="000000"/>
                <w:sz w:val="20"/>
                <w:szCs w:val="20"/>
              </w:rPr>
            </w:pPr>
            <w:proofErr w:type="spellStart"/>
            <w:r>
              <w:rPr>
                <w:bCs/>
                <w:color w:val="000000"/>
                <w:sz w:val="20"/>
                <w:szCs w:val="20"/>
              </w:rPr>
              <w:t>Tmin_max</w:t>
            </w:r>
            <w:proofErr w:type="spellEnd"/>
            <w:r>
              <w:rPr>
                <w:bCs/>
                <w:color w:val="000000"/>
                <w:sz w:val="20"/>
                <w:szCs w:val="20"/>
              </w:rPr>
              <w:t xml:space="preserve"> (C)</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3819301" w14:textId="248FD81D" w:rsidR="0078185C" w:rsidRDefault="003F082E">
            <w:pPr>
              <w:jc w:val="both"/>
              <w:rPr>
                <w:color w:val="000000"/>
                <w:sz w:val="20"/>
                <w:szCs w:val="20"/>
              </w:rPr>
            </w:pPr>
            <w:r>
              <w:rPr>
                <w:color w:val="000000"/>
                <w:sz w:val="20"/>
                <w:szCs w:val="20"/>
              </w:rPr>
              <w:t>3.6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F3A749C" w14:textId="3895B94F" w:rsidR="0078185C" w:rsidRDefault="003F082E">
            <w:pPr>
              <w:jc w:val="both"/>
              <w:rPr>
                <w:color w:val="000000"/>
                <w:sz w:val="20"/>
                <w:szCs w:val="20"/>
              </w:rPr>
            </w:pPr>
            <w:r>
              <w:rPr>
                <w:color w:val="000000"/>
                <w:sz w:val="20"/>
                <w:szCs w:val="20"/>
              </w:rPr>
              <w:t>20.2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F46B521" w14:textId="08548DB7" w:rsidR="0078185C" w:rsidRDefault="003F082E">
            <w:pPr>
              <w:jc w:val="both"/>
              <w:rPr>
                <w:color w:val="000000"/>
                <w:sz w:val="20"/>
                <w:szCs w:val="20"/>
              </w:rPr>
            </w:pPr>
            <w:r>
              <w:rPr>
                <w:color w:val="000000"/>
                <w:sz w:val="20"/>
                <w:szCs w:val="20"/>
              </w:rPr>
              <w:t>3.7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7D19389" w14:textId="1664A1A2" w:rsidR="0078185C" w:rsidRDefault="003F082E">
            <w:pPr>
              <w:jc w:val="both"/>
              <w:rPr>
                <w:color w:val="000000"/>
                <w:sz w:val="20"/>
                <w:szCs w:val="20"/>
              </w:rPr>
            </w:pPr>
            <w:r>
              <w:rPr>
                <w:color w:val="000000"/>
                <w:sz w:val="20"/>
                <w:szCs w:val="20"/>
              </w:rPr>
              <w:t>21.4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2FFD8C0" w14:textId="41F9D40B" w:rsidR="0078185C" w:rsidRDefault="003F082E">
            <w:pPr>
              <w:jc w:val="both"/>
              <w:rPr>
                <w:color w:val="000000"/>
                <w:sz w:val="20"/>
                <w:szCs w:val="20"/>
              </w:rPr>
            </w:pPr>
            <w:r>
              <w:rPr>
                <w:color w:val="000000"/>
                <w:sz w:val="20"/>
                <w:szCs w:val="20"/>
              </w:rPr>
              <w:t>17.8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C66EF86" w14:textId="6C4D909E" w:rsidR="0078185C" w:rsidRDefault="003F082E">
            <w:pPr>
              <w:jc w:val="both"/>
              <w:rPr>
                <w:color w:val="000000"/>
                <w:sz w:val="20"/>
                <w:szCs w:val="20"/>
              </w:rPr>
            </w:pPr>
            <w:r>
              <w:rPr>
                <w:color w:val="000000"/>
                <w:sz w:val="20"/>
                <w:szCs w:val="20"/>
              </w:rPr>
              <w:t>19.4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3CBA55D" w14:textId="3E6A803C" w:rsidR="0078185C" w:rsidRDefault="003F082E">
            <w:pPr>
              <w:jc w:val="both"/>
              <w:rPr>
                <w:color w:val="000000"/>
                <w:sz w:val="20"/>
                <w:szCs w:val="20"/>
              </w:rPr>
            </w:pPr>
            <w:r>
              <w:rPr>
                <w:color w:val="000000"/>
                <w:sz w:val="20"/>
                <w:szCs w:val="20"/>
              </w:rPr>
              <w:t>11.1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87D0859" w14:textId="22B62280" w:rsidR="0078185C" w:rsidRDefault="003F082E">
            <w:pPr>
              <w:jc w:val="both"/>
              <w:rPr>
                <w:color w:val="000000"/>
                <w:sz w:val="20"/>
                <w:szCs w:val="20"/>
              </w:rPr>
            </w:pPr>
            <w:r>
              <w:rPr>
                <w:color w:val="000000"/>
                <w:sz w:val="20"/>
                <w:szCs w:val="20"/>
              </w:rPr>
              <w:t>10.9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EF7E0BD" w14:textId="31392760" w:rsidR="0078185C" w:rsidRDefault="003F082E">
            <w:pPr>
              <w:jc w:val="both"/>
              <w:rPr>
                <w:color w:val="000000"/>
                <w:sz w:val="20"/>
                <w:szCs w:val="20"/>
              </w:rPr>
            </w:pPr>
            <w:r>
              <w:rPr>
                <w:color w:val="000000"/>
                <w:sz w:val="20"/>
                <w:szCs w:val="20"/>
              </w:rPr>
              <w:t>8.1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7CDC704" w14:textId="4416D4F0" w:rsidR="0078185C" w:rsidRDefault="003F082E">
            <w:pPr>
              <w:jc w:val="both"/>
              <w:rPr>
                <w:color w:val="000000"/>
                <w:sz w:val="20"/>
                <w:szCs w:val="20"/>
              </w:rPr>
            </w:pPr>
            <w:r>
              <w:rPr>
                <w:color w:val="000000"/>
                <w:sz w:val="20"/>
                <w:szCs w:val="20"/>
              </w:rPr>
              <w:t>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7D2F39A" w14:textId="4E411633" w:rsidR="0078185C" w:rsidRDefault="003F082E">
            <w:pPr>
              <w:jc w:val="both"/>
              <w:rPr>
                <w:color w:val="000000"/>
                <w:sz w:val="20"/>
                <w:szCs w:val="20"/>
              </w:rPr>
            </w:pPr>
            <w:r>
              <w:rPr>
                <w:color w:val="000000"/>
                <w:sz w:val="20"/>
                <w:szCs w:val="20"/>
              </w:rPr>
              <w:t>21.5</w:t>
            </w:r>
          </w:p>
        </w:tc>
      </w:tr>
      <w:tr w:rsidR="003F082E" w14:paraId="4731121D"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54F083" w14:textId="77777777" w:rsidR="0078185C" w:rsidRDefault="00000000">
            <w:pPr>
              <w:jc w:val="both"/>
              <w:rPr>
                <w:bCs/>
                <w:color w:val="000000"/>
                <w:sz w:val="20"/>
                <w:szCs w:val="20"/>
              </w:rPr>
            </w:pPr>
            <w:proofErr w:type="spellStart"/>
            <w:r>
              <w:rPr>
                <w:bCs/>
                <w:color w:val="000000"/>
                <w:sz w:val="20"/>
                <w:szCs w:val="20"/>
              </w:rPr>
              <w:t>VPD_min</w:t>
            </w:r>
            <w:proofErr w:type="spellEnd"/>
            <w:r>
              <w:rPr>
                <w:bCs/>
                <w:color w:val="000000"/>
                <w:sz w:val="20"/>
                <w:szCs w:val="20"/>
              </w:rPr>
              <w:t xml:space="preserve"> (Pa)</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4BE4B70" w14:textId="77777777"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EE938CE" w14:textId="77777777" w:rsidR="0078185C" w:rsidRDefault="00000000">
            <w:pPr>
              <w:jc w:val="both"/>
              <w:rPr>
                <w:color w:val="000000"/>
                <w:sz w:val="20"/>
                <w:szCs w:val="20"/>
              </w:rPr>
            </w:pPr>
            <w:r>
              <w:rPr>
                <w:color w:val="000000"/>
                <w:sz w:val="20"/>
                <w:szCs w:val="20"/>
              </w:rPr>
              <w:t>1000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4167522" w14:textId="77777777"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18AA8B9" w14:textId="77777777"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96D943D" w14:textId="77777777"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CF3D9DE" w14:textId="77777777"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18448C2" w14:textId="0F618FD9"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5927745" w14:textId="5AD30051"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8D7D615" w14:textId="44862693"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443951B" w14:textId="6C024C5B" w:rsidR="0078185C" w:rsidRDefault="00000000">
            <w:pPr>
              <w:jc w:val="both"/>
              <w:rPr>
                <w:color w:val="000000"/>
                <w:sz w:val="20"/>
                <w:szCs w:val="20"/>
              </w:rPr>
            </w:pPr>
            <w:r>
              <w:rPr>
                <w:color w:val="000000"/>
                <w:sz w:val="20"/>
                <w:szCs w:val="20"/>
              </w:rPr>
              <w:t>650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CCEF665" w14:textId="09A8A584" w:rsidR="0078185C" w:rsidRDefault="00000000">
            <w:pPr>
              <w:jc w:val="both"/>
              <w:rPr>
                <w:color w:val="000000"/>
                <w:sz w:val="20"/>
                <w:szCs w:val="20"/>
              </w:rPr>
            </w:pPr>
            <w:r>
              <w:rPr>
                <w:color w:val="000000"/>
                <w:sz w:val="20"/>
                <w:szCs w:val="20"/>
              </w:rPr>
              <w:t>650</w:t>
            </w:r>
          </w:p>
        </w:tc>
      </w:tr>
      <w:tr w:rsidR="003F082E" w14:paraId="56925332"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9010229" w14:textId="77777777" w:rsidR="0078185C" w:rsidRDefault="00000000">
            <w:pPr>
              <w:jc w:val="both"/>
              <w:rPr>
                <w:bCs/>
                <w:color w:val="000000"/>
                <w:sz w:val="20"/>
                <w:szCs w:val="20"/>
              </w:rPr>
            </w:pPr>
            <w:proofErr w:type="spellStart"/>
            <w:r>
              <w:rPr>
                <w:bCs/>
                <w:color w:val="000000"/>
                <w:sz w:val="20"/>
                <w:szCs w:val="20"/>
              </w:rPr>
              <w:t>VPD_max</w:t>
            </w:r>
            <w:proofErr w:type="spellEnd"/>
            <w:r>
              <w:rPr>
                <w:bCs/>
                <w:color w:val="000000"/>
                <w:sz w:val="20"/>
                <w:szCs w:val="20"/>
              </w:rPr>
              <w:t xml:space="preserve"> (Pa)</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A29CAB3" w14:textId="237E52AB" w:rsidR="0078185C" w:rsidRDefault="003F082E">
            <w:pPr>
              <w:jc w:val="both"/>
              <w:rPr>
                <w:color w:val="000000"/>
                <w:sz w:val="20"/>
                <w:szCs w:val="20"/>
              </w:rPr>
            </w:pPr>
            <w:r>
              <w:rPr>
                <w:color w:val="000000"/>
                <w:sz w:val="20"/>
                <w:szCs w:val="20"/>
              </w:rPr>
              <w:t>4636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A871F26" w14:textId="69F976CC" w:rsidR="0078185C" w:rsidRDefault="003F082E">
            <w:pPr>
              <w:jc w:val="both"/>
              <w:rPr>
                <w:color w:val="000000"/>
                <w:sz w:val="20"/>
                <w:szCs w:val="20"/>
              </w:rPr>
            </w:pPr>
            <w:r>
              <w:rPr>
                <w:color w:val="000000"/>
                <w:sz w:val="20"/>
                <w:szCs w:val="20"/>
              </w:rPr>
              <w:t>4285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40264CA" w14:textId="3461178B" w:rsidR="0078185C" w:rsidRDefault="003F082E">
            <w:pPr>
              <w:jc w:val="both"/>
              <w:rPr>
                <w:color w:val="000000"/>
                <w:sz w:val="20"/>
                <w:szCs w:val="20"/>
              </w:rPr>
            </w:pPr>
            <w:r w:rsidRPr="003F082E">
              <w:rPr>
                <w:color w:val="000000"/>
                <w:sz w:val="20"/>
                <w:szCs w:val="20"/>
              </w:rPr>
              <w:t>2462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02A06B8" w14:textId="15B63087" w:rsidR="0078185C" w:rsidRDefault="003F082E">
            <w:pPr>
              <w:jc w:val="both"/>
              <w:rPr>
                <w:color w:val="000000"/>
                <w:sz w:val="20"/>
                <w:szCs w:val="20"/>
              </w:rPr>
            </w:pPr>
            <w:r w:rsidRPr="003F082E">
              <w:rPr>
                <w:color w:val="000000"/>
                <w:sz w:val="20"/>
                <w:szCs w:val="20"/>
              </w:rPr>
              <w:t>3434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581778B" w14:textId="643693AB" w:rsidR="0078185C" w:rsidRDefault="003F082E">
            <w:pPr>
              <w:jc w:val="both"/>
              <w:rPr>
                <w:color w:val="000000"/>
                <w:sz w:val="20"/>
                <w:szCs w:val="20"/>
              </w:rPr>
            </w:pPr>
            <w:r w:rsidRPr="003F082E">
              <w:rPr>
                <w:color w:val="000000"/>
                <w:sz w:val="20"/>
                <w:szCs w:val="20"/>
              </w:rPr>
              <w:t>3923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12870AD" w14:textId="0A66D4AC" w:rsidR="0078185C" w:rsidRDefault="003F082E">
            <w:pPr>
              <w:jc w:val="both"/>
              <w:rPr>
                <w:color w:val="000000"/>
                <w:sz w:val="20"/>
                <w:szCs w:val="20"/>
              </w:rPr>
            </w:pPr>
            <w:r w:rsidRPr="003F082E">
              <w:rPr>
                <w:color w:val="000000"/>
                <w:sz w:val="20"/>
                <w:szCs w:val="20"/>
              </w:rPr>
              <w:t>4673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6E04BEA" w14:textId="3130F4EB" w:rsidR="0078185C" w:rsidRDefault="003F082E">
            <w:pPr>
              <w:jc w:val="both"/>
              <w:rPr>
                <w:color w:val="000000"/>
                <w:sz w:val="20"/>
                <w:szCs w:val="20"/>
              </w:rPr>
            </w:pPr>
            <w:r w:rsidRPr="003F082E">
              <w:rPr>
                <w:color w:val="000000"/>
                <w:sz w:val="20"/>
                <w:szCs w:val="20"/>
              </w:rPr>
              <w:t>5365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B7C91EE" w14:textId="1305A688" w:rsidR="0078185C" w:rsidRDefault="003F082E">
            <w:pPr>
              <w:jc w:val="both"/>
              <w:rPr>
                <w:color w:val="000000"/>
                <w:sz w:val="20"/>
                <w:szCs w:val="20"/>
              </w:rPr>
            </w:pPr>
            <w:r w:rsidRPr="003F082E">
              <w:rPr>
                <w:color w:val="000000"/>
                <w:sz w:val="20"/>
                <w:szCs w:val="20"/>
              </w:rPr>
              <w:t>4367.5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E541500" w14:textId="4CF3A7A6" w:rsidR="0078185C" w:rsidRDefault="003F082E">
            <w:pPr>
              <w:jc w:val="both"/>
              <w:rPr>
                <w:color w:val="000000"/>
                <w:sz w:val="20"/>
                <w:szCs w:val="20"/>
              </w:rPr>
            </w:pPr>
            <w:r w:rsidRPr="003F082E">
              <w:rPr>
                <w:color w:val="000000"/>
                <w:sz w:val="20"/>
                <w:szCs w:val="20"/>
              </w:rPr>
              <w:t>5109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2B425DE" w14:textId="26E64510" w:rsidR="0078185C" w:rsidRDefault="003F082E">
            <w:pPr>
              <w:jc w:val="both"/>
              <w:rPr>
                <w:color w:val="000000"/>
                <w:sz w:val="20"/>
                <w:szCs w:val="20"/>
              </w:rPr>
            </w:pPr>
            <w:r w:rsidRPr="003F082E">
              <w:rPr>
                <w:color w:val="000000"/>
                <w:sz w:val="20"/>
                <w:szCs w:val="20"/>
              </w:rPr>
              <w:t>4156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D59599C" w14:textId="6C963325" w:rsidR="0078185C" w:rsidRDefault="003F082E">
            <w:pPr>
              <w:jc w:val="both"/>
              <w:rPr>
                <w:color w:val="000000"/>
                <w:sz w:val="20"/>
                <w:szCs w:val="20"/>
              </w:rPr>
            </w:pPr>
            <w:r w:rsidRPr="003F082E">
              <w:rPr>
                <w:color w:val="000000"/>
                <w:sz w:val="20"/>
                <w:szCs w:val="20"/>
              </w:rPr>
              <w:t>4963</w:t>
            </w:r>
          </w:p>
        </w:tc>
      </w:tr>
      <w:tr w:rsidR="003F082E" w14:paraId="2DDA9733"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3BEFA50" w14:textId="77777777" w:rsidR="0078185C" w:rsidRDefault="00000000">
            <w:pPr>
              <w:jc w:val="both"/>
              <w:rPr>
                <w:bCs/>
                <w:color w:val="000000"/>
                <w:sz w:val="20"/>
                <w:szCs w:val="20"/>
              </w:rPr>
            </w:pPr>
            <w:r>
              <w:rPr>
                <w:bCs/>
                <w:color w:val="000000"/>
                <w:sz w:val="20"/>
                <w:szCs w:val="20"/>
              </w:rPr>
              <w:t>SLA (LAI/</w:t>
            </w:r>
            <w:proofErr w:type="spellStart"/>
            <w:r>
              <w:rPr>
                <w:bCs/>
                <w:color w:val="000000"/>
                <w:sz w:val="20"/>
                <w:szCs w:val="20"/>
              </w:rPr>
              <w:t>KgC</w:t>
            </w:r>
            <w:proofErr w:type="spellEnd"/>
            <w:r>
              <w:rPr>
                <w:bCs/>
                <w:color w:val="000000"/>
                <w:sz w:val="20"/>
                <w:szCs w:val="20"/>
              </w:rPr>
              <w:t>)</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3CFEC6B" w14:textId="1B2DA9F6" w:rsidR="0078185C" w:rsidRDefault="003F082E">
            <w:pPr>
              <w:jc w:val="both"/>
              <w:rPr>
                <w:color w:val="000000"/>
                <w:sz w:val="20"/>
                <w:szCs w:val="20"/>
              </w:rPr>
            </w:pPr>
            <w:r w:rsidRPr="003F082E">
              <w:rPr>
                <w:color w:val="000000"/>
                <w:sz w:val="20"/>
                <w:szCs w:val="20"/>
              </w:rPr>
              <w:t>15.40168963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684771A" w14:textId="1845BCEF" w:rsidR="0078185C" w:rsidRDefault="003F082E">
            <w:pPr>
              <w:jc w:val="both"/>
              <w:rPr>
                <w:color w:val="000000"/>
                <w:sz w:val="20"/>
                <w:szCs w:val="20"/>
              </w:rPr>
            </w:pPr>
            <w:r w:rsidRPr="003F082E">
              <w:rPr>
                <w:color w:val="000000"/>
                <w:sz w:val="20"/>
                <w:szCs w:val="20"/>
              </w:rPr>
              <w:t>26.26031818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29D5B47" w14:textId="58195788" w:rsidR="0078185C" w:rsidRDefault="003F082E">
            <w:pPr>
              <w:jc w:val="both"/>
              <w:rPr>
                <w:color w:val="000000"/>
                <w:sz w:val="20"/>
                <w:szCs w:val="20"/>
              </w:rPr>
            </w:pPr>
            <w:r w:rsidRPr="003F082E">
              <w:rPr>
                <w:color w:val="000000"/>
                <w:sz w:val="20"/>
                <w:szCs w:val="20"/>
              </w:rPr>
              <w:t>24.3307404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E413EDA" w14:textId="3B7D9C49" w:rsidR="0078185C" w:rsidRDefault="003F082E">
            <w:pPr>
              <w:jc w:val="both"/>
              <w:rPr>
                <w:color w:val="000000"/>
                <w:sz w:val="20"/>
                <w:szCs w:val="20"/>
              </w:rPr>
            </w:pPr>
            <w:r w:rsidRPr="003F082E">
              <w:rPr>
                <w:color w:val="000000"/>
                <w:sz w:val="20"/>
                <w:szCs w:val="20"/>
              </w:rPr>
              <w:t>37.22949229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985FD88" w14:textId="5B39AF57" w:rsidR="0078185C" w:rsidRDefault="003F082E">
            <w:pPr>
              <w:jc w:val="both"/>
              <w:rPr>
                <w:color w:val="000000"/>
                <w:sz w:val="20"/>
                <w:szCs w:val="20"/>
              </w:rPr>
            </w:pPr>
            <w:r w:rsidRPr="003F082E">
              <w:rPr>
                <w:color w:val="000000"/>
                <w:sz w:val="20"/>
                <w:szCs w:val="20"/>
              </w:rPr>
              <w:t>35.11805585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59A3CAD" w14:textId="07ED1330" w:rsidR="0078185C" w:rsidRDefault="003F082E">
            <w:pPr>
              <w:jc w:val="both"/>
              <w:rPr>
                <w:color w:val="000000"/>
                <w:sz w:val="20"/>
                <w:szCs w:val="20"/>
              </w:rPr>
            </w:pPr>
            <w:r w:rsidRPr="003F082E">
              <w:rPr>
                <w:color w:val="000000"/>
                <w:sz w:val="20"/>
                <w:szCs w:val="20"/>
              </w:rPr>
              <w:t>24.06400456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8DF98D7" w14:textId="7755067D" w:rsidR="0078185C" w:rsidRDefault="003F082E">
            <w:pPr>
              <w:jc w:val="both"/>
              <w:rPr>
                <w:color w:val="000000"/>
                <w:sz w:val="20"/>
                <w:szCs w:val="20"/>
              </w:rPr>
            </w:pPr>
            <w:r w:rsidRPr="003F082E">
              <w:rPr>
                <w:color w:val="000000"/>
                <w:sz w:val="20"/>
                <w:szCs w:val="20"/>
              </w:rPr>
              <w:t>23.58545855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74A6D6B" w14:textId="288A0DB2" w:rsidR="0078185C" w:rsidRDefault="003F082E">
            <w:pPr>
              <w:jc w:val="both"/>
              <w:rPr>
                <w:color w:val="000000"/>
                <w:sz w:val="20"/>
                <w:szCs w:val="20"/>
              </w:rPr>
            </w:pPr>
            <w:r w:rsidRPr="003F082E">
              <w:rPr>
                <w:color w:val="000000"/>
                <w:sz w:val="20"/>
                <w:szCs w:val="20"/>
              </w:rPr>
              <w:t>35.77081433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6CBED2B" w14:textId="079DA676" w:rsidR="0078185C" w:rsidRDefault="003F082E">
            <w:pPr>
              <w:jc w:val="both"/>
              <w:rPr>
                <w:color w:val="000000"/>
                <w:sz w:val="20"/>
                <w:szCs w:val="20"/>
              </w:rPr>
            </w:pPr>
            <w:r w:rsidRPr="003F082E">
              <w:rPr>
                <w:color w:val="000000"/>
                <w:sz w:val="20"/>
                <w:szCs w:val="20"/>
              </w:rPr>
              <w:t>35.51591795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CD124DB" w14:textId="2B35868D" w:rsidR="0078185C" w:rsidRDefault="003F082E">
            <w:pPr>
              <w:jc w:val="both"/>
              <w:rPr>
                <w:color w:val="000000"/>
                <w:sz w:val="20"/>
                <w:szCs w:val="20"/>
              </w:rPr>
            </w:pPr>
            <w:r w:rsidRPr="003F082E">
              <w:rPr>
                <w:color w:val="000000"/>
                <w:sz w:val="20"/>
                <w:szCs w:val="20"/>
              </w:rPr>
              <w:t>35.75488538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34292C4" w14:textId="6CFEBCDF" w:rsidR="0078185C" w:rsidRDefault="003F082E">
            <w:pPr>
              <w:jc w:val="both"/>
              <w:rPr>
                <w:color w:val="000000"/>
                <w:sz w:val="20"/>
                <w:szCs w:val="20"/>
              </w:rPr>
            </w:pPr>
            <w:r w:rsidRPr="003F082E">
              <w:rPr>
                <w:color w:val="000000"/>
                <w:sz w:val="20"/>
                <w:szCs w:val="20"/>
              </w:rPr>
              <w:t>40.31786418</w:t>
            </w:r>
          </w:p>
        </w:tc>
      </w:tr>
      <w:tr w:rsidR="003F082E" w14:paraId="7E92DE05"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371323" w14:textId="6DC410E7" w:rsidR="003F082E" w:rsidRDefault="003F082E" w:rsidP="003F082E">
            <w:pPr>
              <w:jc w:val="both"/>
              <w:rPr>
                <w:bCs/>
                <w:color w:val="000000"/>
                <w:sz w:val="20"/>
                <w:szCs w:val="20"/>
              </w:rPr>
            </w:pPr>
            <w:r>
              <w:rPr>
                <w:bCs/>
                <w:color w:val="000000"/>
                <w:sz w:val="20"/>
                <w:szCs w:val="20"/>
              </w:rPr>
              <w:t>Q</w:t>
            </w:r>
            <w:r>
              <w:rPr>
                <w:bCs/>
                <w:color w:val="000000"/>
                <w:sz w:val="20"/>
                <w:szCs w:val="20"/>
                <w:vertAlign w:val="subscript"/>
              </w:rPr>
              <w:t>10</w:t>
            </w:r>
            <w:r>
              <w:rPr>
                <w:bCs/>
                <w:color w:val="000000"/>
                <w:sz w:val="20"/>
                <w:szCs w:val="20"/>
              </w:rPr>
              <w:t>*</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6E5F7B0" w14:textId="223B92A0"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F5BE9D6" w14:textId="6274B92C"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4269AD8" w14:textId="32F0BDE7"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80F4415" w14:textId="58B2167E"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CB3BDE2" w14:textId="4315B5DE"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688624A" w14:textId="32EED42D"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92F8CE5" w14:textId="0F4E839D"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03D0921" w14:textId="01DAEA42"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0940BF6" w14:textId="1174F26D"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A9B8F18" w14:textId="4E850608" w:rsidR="003F082E" w:rsidRDefault="003F082E" w:rsidP="003F082E">
            <w:pPr>
              <w:jc w:val="both"/>
              <w:rPr>
                <w:color w:val="000000"/>
                <w:sz w:val="20"/>
                <w:szCs w:val="20"/>
              </w:rPr>
            </w:pPr>
            <w:r>
              <w:rPr>
                <w:color w:val="000000"/>
                <w:sz w:val="20"/>
                <w:szCs w:val="20"/>
              </w:rPr>
              <w:t>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CCD646F" w14:textId="604530DA" w:rsidR="003F082E" w:rsidRDefault="003F082E" w:rsidP="003F082E">
            <w:pPr>
              <w:jc w:val="both"/>
              <w:rPr>
                <w:color w:val="000000"/>
                <w:sz w:val="20"/>
                <w:szCs w:val="20"/>
              </w:rPr>
            </w:pPr>
            <w:r>
              <w:rPr>
                <w:color w:val="000000"/>
                <w:sz w:val="20"/>
                <w:szCs w:val="20"/>
              </w:rPr>
              <w:t>2</w:t>
            </w:r>
          </w:p>
        </w:tc>
      </w:tr>
      <w:tr w:rsidR="003F082E" w14:paraId="570E67F7"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08A423D" w14:textId="11F444E8" w:rsidR="003F082E" w:rsidRDefault="00CF698A" w:rsidP="003F082E">
            <w:pPr>
              <w:jc w:val="both"/>
              <w:rPr>
                <w:bCs/>
                <w:color w:val="000000"/>
                <w:sz w:val="20"/>
                <w:szCs w:val="20"/>
              </w:rPr>
            </w:pPr>
            <w:r w:rsidRPr="00CF698A">
              <w:rPr>
                <w:bCs/>
                <w:color w:val="000000"/>
                <w:sz w:val="20"/>
                <w:szCs w:val="20"/>
              </w:rPr>
              <w:t>Q</w:t>
            </w:r>
            <w:r w:rsidRPr="00CF698A">
              <w:rPr>
                <w:bCs/>
                <w:color w:val="000000"/>
                <w:sz w:val="20"/>
                <w:szCs w:val="20"/>
                <w:vertAlign w:val="subscript"/>
              </w:rPr>
              <w:t>10</w:t>
            </w:r>
            <w:r w:rsidRPr="00CF698A">
              <w:rPr>
                <w:bCs/>
                <w:color w:val="000000"/>
                <w:sz w:val="20"/>
                <w:szCs w:val="20"/>
              </w:rPr>
              <w:t>_livewood</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31BDEBF" w14:textId="210091D4" w:rsidR="003F082E" w:rsidRDefault="00F07767" w:rsidP="003F082E">
            <w:pPr>
              <w:jc w:val="both"/>
              <w:rPr>
                <w:color w:val="000000"/>
                <w:sz w:val="20"/>
                <w:szCs w:val="20"/>
              </w:rPr>
            </w:pPr>
            <w:r w:rsidRPr="00F07767">
              <w:rPr>
                <w:color w:val="000000"/>
                <w:sz w:val="20"/>
                <w:szCs w:val="20"/>
              </w:rPr>
              <w:t>1.923406912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F3D3542" w14:textId="13C5D4F7" w:rsidR="003F082E" w:rsidRDefault="00F07767" w:rsidP="003F082E">
            <w:pPr>
              <w:jc w:val="both"/>
              <w:rPr>
                <w:color w:val="000000"/>
                <w:sz w:val="20"/>
                <w:szCs w:val="20"/>
              </w:rPr>
            </w:pPr>
            <w:r w:rsidRPr="00F07767">
              <w:rPr>
                <w:color w:val="000000"/>
                <w:sz w:val="20"/>
                <w:szCs w:val="20"/>
              </w:rPr>
              <w:t>1.753757876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A30DFCC" w14:textId="099BB7E0" w:rsidR="003F082E" w:rsidRDefault="00F07767" w:rsidP="003F082E">
            <w:pPr>
              <w:jc w:val="both"/>
              <w:rPr>
                <w:color w:val="000000"/>
                <w:sz w:val="20"/>
                <w:szCs w:val="20"/>
              </w:rPr>
            </w:pPr>
            <w:r w:rsidRPr="00F07767">
              <w:rPr>
                <w:color w:val="000000"/>
                <w:sz w:val="20"/>
                <w:szCs w:val="20"/>
              </w:rPr>
              <w:t>1.89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0065F25" w14:textId="45F2E59C" w:rsidR="003F082E" w:rsidRDefault="00F07767" w:rsidP="003F082E">
            <w:pPr>
              <w:jc w:val="both"/>
              <w:rPr>
                <w:color w:val="000000"/>
                <w:sz w:val="20"/>
                <w:szCs w:val="20"/>
              </w:rPr>
            </w:pPr>
            <w:r w:rsidRPr="00F07767">
              <w:rPr>
                <w:color w:val="000000"/>
                <w:sz w:val="20"/>
                <w:szCs w:val="20"/>
              </w:rPr>
              <w:t>1.863018962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F7CAD3D" w14:textId="7FDF08FE" w:rsidR="003F082E" w:rsidRDefault="00F07767" w:rsidP="003F082E">
            <w:pPr>
              <w:jc w:val="both"/>
              <w:rPr>
                <w:color w:val="000000"/>
                <w:sz w:val="20"/>
                <w:szCs w:val="20"/>
              </w:rPr>
            </w:pPr>
            <w:r w:rsidRPr="00F07767">
              <w:rPr>
                <w:color w:val="000000"/>
                <w:sz w:val="20"/>
                <w:szCs w:val="20"/>
              </w:rPr>
              <w:t>1.864681066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D0EC9BD" w14:textId="6BBD46D3" w:rsidR="003F082E" w:rsidRDefault="00F07767" w:rsidP="003F082E">
            <w:pPr>
              <w:jc w:val="both"/>
              <w:rPr>
                <w:color w:val="000000"/>
                <w:sz w:val="20"/>
                <w:szCs w:val="20"/>
              </w:rPr>
            </w:pPr>
            <w:r w:rsidRPr="00F07767">
              <w:rPr>
                <w:color w:val="000000"/>
                <w:sz w:val="20"/>
                <w:szCs w:val="20"/>
              </w:rPr>
              <w:t>1.846798001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B5E3137" w14:textId="5167FB5D" w:rsidR="003F082E" w:rsidRDefault="00F07767" w:rsidP="003F082E">
            <w:pPr>
              <w:jc w:val="both"/>
              <w:rPr>
                <w:color w:val="000000"/>
                <w:sz w:val="20"/>
                <w:szCs w:val="20"/>
              </w:rPr>
            </w:pPr>
            <w:r w:rsidRPr="00F07767">
              <w:rPr>
                <w:color w:val="000000"/>
                <w:sz w:val="20"/>
                <w:szCs w:val="20"/>
              </w:rPr>
              <w:t>1.846798001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79305A3" w14:textId="521927CB" w:rsidR="003F082E" w:rsidRDefault="00F07767" w:rsidP="003F082E">
            <w:pPr>
              <w:jc w:val="both"/>
              <w:rPr>
                <w:color w:val="000000"/>
                <w:sz w:val="20"/>
                <w:szCs w:val="20"/>
              </w:rPr>
            </w:pPr>
            <w:r w:rsidRPr="00F07767">
              <w:rPr>
                <w:color w:val="000000"/>
                <w:sz w:val="20"/>
                <w:szCs w:val="20"/>
              </w:rPr>
              <w:t>1.839968521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E4C2565" w14:textId="1F23A578" w:rsidR="003F082E" w:rsidRDefault="00F07767" w:rsidP="003F082E">
            <w:pPr>
              <w:jc w:val="both"/>
              <w:rPr>
                <w:color w:val="000000"/>
                <w:sz w:val="20"/>
                <w:szCs w:val="20"/>
              </w:rPr>
            </w:pPr>
            <w:r w:rsidRPr="00F07767">
              <w:rPr>
                <w:color w:val="000000"/>
                <w:sz w:val="20"/>
                <w:szCs w:val="20"/>
              </w:rPr>
              <w:t>1.833404781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A434BBE" w14:textId="12857523" w:rsidR="003F082E" w:rsidRDefault="00F07767" w:rsidP="003F082E">
            <w:pPr>
              <w:jc w:val="both"/>
              <w:rPr>
                <w:color w:val="000000"/>
                <w:sz w:val="20"/>
                <w:szCs w:val="20"/>
              </w:rPr>
            </w:pPr>
            <w:r>
              <w:rPr>
                <w:color w:val="000000"/>
                <w:sz w:val="20"/>
                <w:szCs w:val="20"/>
              </w:rPr>
              <w:t>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2BD6668" w14:textId="24EB87DF" w:rsidR="003F082E" w:rsidRDefault="00F07767" w:rsidP="003F082E">
            <w:pPr>
              <w:jc w:val="both"/>
              <w:rPr>
                <w:color w:val="000000"/>
                <w:sz w:val="20"/>
                <w:szCs w:val="20"/>
              </w:rPr>
            </w:pPr>
            <w:r>
              <w:rPr>
                <w:color w:val="000000"/>
                <w:sz w:val="20"/>
                <w:szCs w:val="20"/>
              </w:rPr>
              <w:t>0</w:t>
            </w:r>
          </w:p>
        </w:tc>
      </w:tr>
      <w:tr w:rsidR="00CF698A" w14:paraId="2825AA8C"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2FABB53" w14:textId="22961FFA" w:rsidR="00CF698A" w:rsidRPr="00CF698A" w:rsidRDefault="00CF698A" w:rsidP="00CF698A">
            <w:pPr>
              <w:jc w:val="both"/>
              <w:rPr>
                <w:bCs/>
                <w:color w:val="000000"/>
                <w:sz w:val="20"/>
                <w:szCs w:val="20"/>
              </w:rPr>
            </w:pPr>
            <w:r w:rsidRPr="00CF698A">
              <w:rPr>
                <w:bCs/>
                <w:color w:val="000000"/>
                <w:sz w:val="20"/>
                <w:szCs w:val="20"/>
              </w:rPr>
              <w:t>Q</w:t>
            </w:r>
            <w:r w:rsidRPr="00CF698A">
              <w:rPr>
                <w:bCs/>
                <w:color w:val="000000"/>
                <w:sz w:val="20"/>
                <w:szCs w:val="20"/>
                <w:vertAlign w:val="subscript"/>
              </w:rPr>
              <w:t>10</w:t>
            </w:r>
            <w:r w:rsidRPr="00CF698A">
              <w:rPr>
                <w:bCs/>
                <w:color w:val="000000"/>
                <w:sz w:val="20"/>
                <w:szCs w:val="20"/>
              </w:rPr>
              <w:t>_froot</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7F12416" w14:textId="00B19BAA" w:rsidR="00CF698A" w:rsidRDefault="00CF698A" w:rsidP="00CF698A">
            <w:pPr>
              <w:jc w:val="both"/>
              <w:rPr>
                <w:color w:val="000000"/>
                <w:sz w:val="20"/>
                <w:szCs w:val="20"/>
              </w:rPr>
            </w:pPr>
            <w:r>
              <w:rPr>
                <w:color w:val="000000"/>
                <w:sz w:val="20"/>
                <w:szCs w:val="20"/>
              </w:rPr>
              <w:t>1.6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9023E07" w14:textId="38AD6E39" w:rsidR="00CF698A" w:rsidRDefault="00CF698A" w:rsidP="00CF698A">
            <w:pPr>
              <w:jc w:val="both"/>
              <w:rPr>
                <w:color w:val="000000"/>
                <w:sz w:val="20"/>
                <w:szCs w:val="20"/>
              </w:rPr>
            </w:pPr>
            <w:r>
              <w:rPr>
                <w:color w:val="000000"/>
                <w:sz w:val="20"/>
                <w:szCs w:val="20"/>
              </w:rPr>
              <w:t>1.6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6126ACF" w14:textId="706A53A7" w:rsidR="00CF698A" w:rsidRPr="00CF698A" w:rsidRDefault="00CF698A" w:rsidP="00CF698A">
            <w:pPr>
              <w:jc w:val="both"/>
              <w:rPr>
                <w:color w:val="000000"/>
                <w:sz w:val="20"/>
                <w:szCs w:val="20"/>
              </w:rPr>
            </w:pPr>
            <w:r w:rsidRPr="00CF698A">
              <w:rPr>
                <w:color w:val="000000"/>
                <w:sz w:val="20"/>
                <w:szCs w:val="20"/>
              </w:rPr>
              <w:t>2.790145093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B985FFD" w14:textId="3A1815E5" w:rsidR="00CF698A" w:rsidRPr="00CF698A" w:rsidRDefault="00CF698A" w:rsidP="00CF698A">
            <w:pPr>
              <w:jc w:val="both"/>
              <w:rPr>
                <w:color w:val="000000"/>
                <w:sz w:val="20"/>
                <w:szCs w:val="20"/>
              </w:rPr>
            </w:pPr>
            <w:r w:rsidRPr="00CF698A">
              <w:rPr>
                <w:color w:val="000000"/>
                <w:sz w:val="20"/>
                <w:szCs w:val="20"/>
              </w:rPr>
              <w:t>5.008703103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FA7501E" w14:textId="490CBF24" w:rsidR="00CF698A" w:rsidRPr="00CF698A" w:rsidRDefault="00CF698A" w:rsidP="00CF698A">
            <w:pPr>
              <w:jc w:val="both"/>
              <w:rPr>
                <w:color w:val="000000"/>
                <w:sz w:val="20"/>
                <w:szCs w:val="20"/>
              </w:rPr>
            </w:pPr>
            <w:r w:rsidRPr="00CF698A">
              <w:rPr>
                <w:color w:val="000000"/>
                <w:sz w:val="20"/>
                <w:szCs w:val="20"/>
              </w:rPr>
              <w:t>2.508484509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0B95542" w14:textId="090DB6D3" w:rsidR="00CF698A" w:rsidRPr="00CF698A" w:rsidRDefault="00CF698A" w:rsidP="00CF698A">
            <w:pPr>
              <w:jc w:val="both"/>
              <w:rPr>
                <w:color w:val="000000"/>
                <w:sz w:val="20"/>
                <w:szCs w:val="20"/>
              </w:rPr>
            </w:pPr>
            <w:r w:rsidRPr="00CF698A">
              <w:rPr>
                <w:color w:val="000000"/>
                <w:sz w:val="20"/>
                <w:szCs w:val="20"/>
              </w:rPr>
              <w:t>2.075329766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1088DF5" w14:textId="6E2B81F5" w:rsidR="00CF698A" w:rsidRPr="00CF698A" w:rsidRDefault="00CF698A" w:rsidP="00CF698A">
            <w:pPr>
              <w:jc w:val="both"/>
              <w:rPr>
                <w:color w:val="000000"/>
                <w:sz w:val="20"/>
                <w:szCs w:val="20"/>
              </w:rPr>
            </w:pPr>
            <w:r w:rsidRPr="00CF698A">
              <w:rPr>
                <w:color w:val="000000"/>
                <w:sz w:val="20"/>
                <w:szCs w:val="20"/>
              </w:rPr>
              <w:t>2.075329766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03AC6B2" w14:textId="162594E2" w:rsidR="00CF698A" w:rsidRPr="00CF698A" w:rsidRDefault="00CF698A" w:rsidP="00CF698A">
            <w:pPr>
              <w:jc w:val="both"/>
              <w:rPr>
                <w:color w:val="000000"/>
                <w:sz w:val="20"/>
                <w:szCs w:val="20"/>
              </w:rPr>
            </w:pPr>
            <w:r w:rsidRPr="00CF698A">
              <w:rPr>
                <w:color w:val="000000"/>
                <w:sz w:val="20"/>
                <w:szCs w:val="20"/>
              </w:rPr>
              <w:t>2.03613855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9E57A92" w14:textId="3ACD65C3" w:rsidR="00CF698A" w:rsidRPr="00CF698A" w:rsidRDefault="00CF698A" w:rsidP="00CF698A">
            <w:pPr>
              <w:jc w:val="both"/>
              <w:rPr>
                <w:color w:val="000000"/>
                <w:sz w:val="20"/>
                <w:szCs w:val="20"/>
              </w:rPr>
            </w:pPr>
            <w:r w:rsidRPr="00CF698A">
              <w:rPr>
                <w:color w:val="000000"/>
                <w:sz w:val="20"/>
                <w:szCs w:val="20"/>
              </w:rPr>
              <w:t>1.73780588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39C2010" w14:textId="74C5C480" w:rsidR="00CF698A" w:rsidRPr="00CF698A" w:rsidRDefault="00CF698A" w:rsidP="00CF698A">
            <w:pPr>
              <w:jc w:val="both"/>
              <w:rPr>
                <w:color w:val="000000"/>
                <w:sz w:val="20"/>
                <w:szCs w:val="20"/>
              </w:rPr>
            </w:pPr>
            <w:r w:rsidRPr="00CF698A">
              <w:rPr>
                <w:color w:val="000000"/>
                <w:sz w:val="20"/>
                <w:szCs w:val="20"/>
              </w:rPr>
              <w:t>1.660850297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786C44E" w14:textId="62105A75" w:rsidR="00CF698A" w:rsidRDefault="00CF698A" w:rsidP="00CF698A">
            <w:pPr>
              <w:jc w:val="both"/>
              <w:rPr>
                <w:color w:val="000000"/>
                <w:sz w:val="20"/>
                <w:szCs w:val="20"/>
              </w:rPr>
            </w:pPr>
            <w:r>
              <w:rPr>
                <w:color w:val="000000"/>
                <w:sz w:val="20"/>
                <w:szCs w:val="20"/>
              </w:rPr>
              <w:t>1.6</w:t>
            </w:r>
          </w:p>
        </w:tc>
      </w:tr>
      <w:tr w:rsidR="00CF698A" w14:paraId="5CA7C3E4"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A0C2FE" w14:textId="60CC1F16" w:rsidR="00CF698A" w:rsidRDefault="00CF698A" w:rsidP="00CF698A">
            <w:pPr>
              <w:jc w:val="both"/>
              <w:rPr>
                <w:bCs/>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144751B" w14:textId="6CF0401D"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8E884CA" w14:textId="57D877C5"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842F596" w14:textId="26779550"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CC21B90" w14:textId="54A7E23F"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38328F9" w14:textId="479F6FF7"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4B6C890" w14:textId="4A9731D8"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8A8CB7E" w14:textId="25600084"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E643A39" w14:textId="6F0081A5"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A9DB5E7" w14:textId="017A91E7"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BC03362" w14:textId="563C013D" w:rsidR="00CF698A" w:rsidRDefault="00CF698A" w:rsidP="00CF698A">
            <w:pPr>
              <w:jc w:val="both"/>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4DED8E9" w14:textId="57087573" w:rsidR="00CF698A" w:rsidRDefault="00CF698A" w:rsidP="00CF698A">
            <w:pPr>
              <w:jc w:val="both"/>
              <w:rPr>
                <w:color w:val="000000"/>
                <w:sz w:val="20"/>
                <w:szCs w:val="20"/>
              </w:rPr>
            </w:pPr>
          </w:p>
        </w:tc>
      </w:tr>
      <w:tr w:rsidR="00CF698A" w14:paraId="701551E9"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3DB536" w14:textId="77777777" w:rsidR="00CF698A" w:rsidRDefault="00CF698A" w:rsidP="00CF698A">
            <w:pPr>
              <w:jc w:val="both"/>
              <w:rPr>
                <w:bCs/>
                <w:color w:val="000000"/>
                <w:sz w:val="20"/>
                <w:szCs w:val="20"/>
              </w:rPr>
            </w:pPr>
            <w:proofErr w:type="spellStart"/>
            <w:r>
              <w:rPr>
                <w:bCs/>
                <w:color w:val="000000"/>
                <w:sz w:val="20"/>
                <w:szCs w:val="20"/>
              </w:rPr>
              <w:t>froot_leaf_ratio</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9D7D509" w14:textId="77777777" w:rsidR="00CF698A" w:rsidRDefault="00CF698A" w:rsidP="00CF698A">
            <w:pPr>
              <w:jc w:val="both"/>
              <w:rPr>
                <w:color w:val="000000"/>
                <w:sz w:val="20"/>
                <w:szCs w:val="20"/>
              </w:rPr>
            </w:pPr>
            <w:r>
              <w:rPr>
                <w:color w:val="000000"/>
                <w:sz w:val="20"/>
                <w:szCs w:val="20"/>
              </w:rPr>
              <w:t>1.2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5D8B3B0" w14:textId="77777777" w:rsidR="00CF698A" w:rsidRDefault="00CF698A" w:rsidP="00CF698A">
            <w:pPr>
              <w:jc w:val="both"/>
              <w:rPr>
                <w:color w:val="000000"/>
                <w:sz w:val="20"/>
                <w:szCs w:val="20"/>
              </w:rPr>
            </w:pPr>
            <w:r>
              <w:rPr>
                <w:color w:val="000000"/>
                <w:sz w:val="20"/>
                <w:szCs w:val="20"/>
              </w:rPr>
              <w:t>1.1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8BDF8A7" w14:textId="77777777" w:rsidR="00CF698A" w:rsidRDefault="00CF698A" w:rsidP="00CF698A">
            <w:pPr>
              <w:jc w:val="both"/>
              <w:rPr>
                <w:color w:val="000000"/>
                <w:sz w:val="20"/>
                <w:szCs w:val="20"/>
              </w:rPr>
            </w:pPr>
            <w:r>
              <w:rPr>
                <w:color w:val="000000"/>
                <w:sz w:val="20"/>
                <w:szCs w:val="20"/>
              </w:rPr>
              <w:t>1.7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0475724" w14:textId="77777777" w:rsidR="00CF698A" w:rsidRDefault="00CF698A" w:rsidP="00CF698A">
            <w:pPr>
              <w:jc w:val="both"/>
              <w:rPr>
                <w:color w:val="000000"/>
                <w:sz w:val="20"/>
                <w:szCs w:val="20"/>
              </w:rPr>
            </w:pPr>
            <w:r>
              <w:rPr>
                <w:color w:val="000000"/>
                <w:sz w:val="20"/>
                <w:szCs w:val="20"/>
              </w:rPr>
              <w:t>1.1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A7565C2" w14:textId="77777777" w:rsidR="00CF698A" w:rsidRDefault="00CF698A" w:rsidP="00CF698A">
            <w:pPr>
              <w:jc w:val="both"/>
              <w:rPr>
                <w:color w:val="000000"/>
                <w:sz w:val="20"/>
                <w:szCs w:val="20"/>
              </w:rPr>
            </w:pPr>
            <w:r>
              <w:rPr>
                <w:color w:val="000000"/>
                <w:sz w:val="20"/>
                <w:szCs w:val="20"/>
              </w:rPr>
              <w:t>1.1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6B20A0C" w14:textId="77777777" w:rsidR="00CF698A" w:rsidRDefault="00CF698A" w:rsidP="00CF698A">
            <w:pPr>
              <w:jc w:val="both"/>
              <w:rPr>
                <w:color w:val="000000"/>
                <w:sz w:val="20"/>
                <w:szCs w:val="20"/>
              </w:rPr>
            </w:pPr>
            <w:r>
              <w:rPr>
                <w:color w:val="000000"/>
                <w:sz w:val="20"/>
                <w:szCs w:val="20"/>
              </w:rPr>
              <w:t>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2860A0C" w14:textId="77777777" w:rsidR="00CF698A" w:rsidRDefault="00CF698A" w:rsidP="00CF698A">
            <w:pPr>
              <w:jc w:val="both"/>
              <w:rPr>
                <w:color w:val="000000"/>
                <w:sz w:val="20"/>
                <w:szCs w:val="20"/>
              </w:rPr>
            </w:pPr>
            <w:r>
              <w:rPr>
                <w:color w:val="000000"/>
                <w:sz w:val="20"/>
                <w:szCs w:val="20"/>
              </w:rPr>
              <w:t>1.3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51AB481" w14:textId="77777777" w:rsidR="00CF698A" w:rsidRDefault="00CF698A" w:rsidP="00CF698A">
            <w:pPr>
              <w:jc w:val="both"/>
              <w:rPr>
                <w:color w:val="000000"/>
                <w:sz w:val="20"/>
                <w:szCs w:val="20"/>
              </w:rPr>
            </w:pPr>
            <w:r>
              <w:rPr>
                <w:color w:val="000000"/>
                <w:sz w:val="20"/>
                <w:szCs w:val="20"/>
              </w:rPr>
              <w:t>1.8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2F29D74" w14:textId="77777777" w:rsidR="00CF698A" w:rsidRDefault="00CF698A" w:rsidP="00CF698A">
            <w:pPr>
              <w:jc w:val="both"/>
              <w:rPr>
                <w:color w:val="000000"/>
                <w:sz w:val="20"/>
                <w:szCs w:val="20"/>
              </w:rPr>
            </w:pPr>
            <w:r>
              <w:rPr>
                <w:color w:val="000000"/>
                <w:sz w:val="20"/>
                <w:szCs w:val="20"/>
              </w:rPr>
              <w:t>1.8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4C1B599" w14:textId="77777777" w:rsidR="00CF698A" w:rsidRDefault="00CF698A" w:rsidP="00CF698A">
            <w:pPr>
              <w:jc w:val="both"/>
              <w:rPr>
                <w:color w:val="000000"/>
                <w:sz w:val="20"/>
                <w:szCs w:val="20"/>
              </w:rPr>
            </w:pPr>
            <w:r>
              <w:rPr>
                <w:color w:val="000000"/>
                <w:sz w:val="20"/>
                <w:szCs w:val="20"/>
              </w:rPr>
              <w:t>2.6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D63D2B4" w14:textId="77777777" w:rsidR="00CF698A" w:rsidRDefault="00CF698A" w:rsidP="00CF698A">
            <w:pPr>
              <w:jc w:val="both"/>
              <w:rPr>
                <w:color w:val="000000"/>
                <w:sz w:val="20"/>
                <w:szCs w:val="20"/>
              </w:rPr>
            </w:pPr>
            <w:r>
              <w:rPr>
                <w:color w:val="000000"/>
                <w:sz w:val="20"/>
                <w:szCs w:val="20"/>
              </w:rPr>
              <w:t>2</w:t>
            </w:r>
          </w:p>
        </w:tc>
      </w:tr>
      <w:tr w:rsidR="00CF698A" w14:paraId="5CD8F31E"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10B56AA" w14:textId="77777777" w:rsidR="00CF698A" w:rsidRDefault="00CF698A" w:rsidP="00CF698A">
            <w:pPr>
              <w:jc w:val="both"/>
              <w:rPr>
                <w:bCs/>
                <w:color w:val="000000"/>
                <w:sz w:val="20"/>
                <w:szCs w:val="20"/>
              </w:rPr>
            </w:pPr>
            <w:proofErr w:type="spellStart"/>
            <w:r>
              <w:rPr>
                <w:bCs/>
                <w:color w:val="000000"/>
                <w:sz w:val="20"/>
                <w:szCs w:val="20"/>
              </w:rPr>
              <w:t>livewood_leaf_ratio</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009F3AE" w14:textId="77777777" w:rsidR="00CF698A" w:rsidRDefault="00CF698A" w:rsidP="00CF698A">
            <w:pPr>
              <w:jc w:val="both"/>
              <w:rPr>
                <w:color w:val="000000"/>
                <w:sz w:val="20"/>
                <w:szCs w:val="20"/>
              </w:rPr>
            </w:pPr>
            <w:r>
              <w:rPr>
                <w:color w:val="000000"/>
                <w:sz w:val="20"/>
                <w:szCs w:val="20"/>
              </w:rPr>
              <w:t>0.182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7B5D207" w14:textId="77777777" w:rsidR="00CF698A" w:rsidRDefault="00CF698A" w:rsidP="00CF698A">
            <w:pPr>
              <w:jc w:val="both"/>
              <w:rPr>
                <w:color w:val="000000"/>
                <w:sz w:val="20"/>
                <w:szCs w:val="20"/>
              </w:rPr>
            </w:pPr>
            <w:r>
              <w:rPr>
                <w:color w:val="000000"/>
                <w:sz w:val="20"/>
                <w:szCs w:val="20"/>
              </w:rPr>
              <w:t>0.162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76E43B3" w14:textId="77777777" w:rsidR="00CF698A" w:rsidRDefault="00CF698A" w:rsidP="00CF698A">
            <w:pPr>
              <w:jc w:val="both"/>
              <w:rPr>
                <w:color w:val="000000"/>
                <w:sz w:val="20"/>
                <w:szCs w:val="20"/>
              </w:rPr>
            </w:pPr>
            <w:r>
              <w:rPr>
                <w:color w:val="000000"/>
                <w:sz w:val="20"/>
                <w:szCs w:val="20"/>
              </w:rPr>
              <w:t>0.165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7D790D8" w14:textId="77777777" w:rsidR="00CF698A" w:rsidRDefault="00CF698A" w:rsidP="00CF698A">
            <w:pPr>
              <w:jc w:val="both"/>
              <w:rPr>
                <w:color w:val="000000"/>
                <w:sz w:val="20"/>
                <w:szCs w:val="20"/>
              </w:rPr>
            </w:pPr>
            <w:r>
              <w:rPr>
                <w:color w:val="000000"/>
                <w:sz w:val="20"/>
                <w:szCs w:val="20"/>
              </w:rPr>
              <w:t>0.203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13EBD3A" w14:textId="77777777" w:rsidR="00CF698A" w:rsidRDefault="00CF698A" w:rsidP="00CF698A">
            <w:pPr>
              <w:jc w:val="both"/>
              <w:rPr>
                <w:color w:val="000000"/>
                <w:sz w:val="20"/>
                <w:szCs w:val="20"/>
              </w:rPr>
            </w:pPr>
            <w:r>
              <w:rPr>
                <w:color w:val="000000"/>
                <w:sz w:val="20"/>
                <w:szCs w:val="20"/>
              </w:rPr>
              <w:t>0.203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C2E0E36" w14:textId="77777777" w:rsidR="00CF698A" w:rsidRDefault="00CF698A" w:rsidP="00CF698A">
            <w:pPr>
              <w:jc w:val="both"/>
              <w:rPr>
                <w:color w:val="000000"/>
                <w:sz w:val="20"/>
                <w:szCs w:val="20"/>
              </w:rPr>
            </w:pPr>
            <w:r>
              <w:rPr>
                <w:color w:val="000000"/>
                <w:sz w:val="20"/>
                <w:szCs w:val="20"/>
              </w:rPr>
              <w:t>0.079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DC3F65E" w14:textId="77777777" w:rsidR="00CF698A" w:rsidRDefault="00CF698A" w:rsidP="00CF698A">
            <w:pPr>
              <w:jc w:val="both"/>
              <w:rPr>
                <w:color w:val="000000"/>
                <w:sz w:val="20"/>
                <w:szCs w:val="20"/>
              </w:rPr>
            </w:pPr>
            <w:r>
              <w:rPr>
                <w:color w:val="000000"/>
                <w:sz w:val="20"/>
                <w:szCs w:val="20"/>
              </w:rPr>
              <w:t>0.04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25D8295" w14:textId="7136552B" w:rsidR="00CF698A" w:rsidRDefault="00CF698A" w:rsidP="00CF698A">
            <w:pPr>
              <w:jc w:val="both"/>
              <w:rPr>
                <w:color w:val="000000"/>
                <w:sz w:val="20"/>
                <w:szCs w:val="20"/>
              </w:rPr>
            </w:pPr>
            <w:r>
              <w:rPr>
                <w:color w:val="000000"/>
                <w:sz w:val="20"/>
                <w:szCs w:val="20"/>
              </w:rPr>
              <w:t>0.0</w:t>
            </w:r>
            <w:r w:rsidR="00F07767">
              <w:rPr>
                <w:color w:val="000000"/>
                <w:sz w:val="20"/>
                <w:szCs w:val="20"/>
              </w:rPr>
              <w:t>7</w:t>
            </w:r>
            <w:r>
              <w:rPr>
                <w:color w:val="000000"/>
                <w:sz w:val="20"/>
                <w:szCs w:val="20"/>
              </w:rPr>
              <w:t>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DF756B9" w14:textId="77777777" w:rsidR="00CF698A" w:rsidRDefault="00CF698A" w:rsidP="00CF698A">
            <w:pPr>
              <w:jc w:val="both"/>
              <w:rPr>
                <w:color w:val="000000"/>
                <w:sz w:val="20"/>
                <w:szCs w:val="20"/>
              </w:rPr>
            </w:pPr>
            <w:r>
              <w:rPr>
                <w:color w:val="000000"/>
                <w:sz w:val="20"/>
                <w:szCs w:val="20"/>
              </w:rPr>
              <w:t>0.051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322F001" w14:textId="77777777" w:rsidR="00CF698A" w:rsidRDefault="00CF698A" w:rsidP="00CF698A">
            <w:pPr>
              <w:jc w:val="both"/>
              <w:rPr>
                <w:color w:val="000000"/>
                <w:sz w:val="20"/>
                <w:szCs w:val="20"/>
              </w:rPr>
            </w:pPr>
            <w:r>
              <w:rPr>
                <w:color w:val="000000"/>
                <w:sz w:val="20"/>
                <w:szCs w:val="20"/>
              </w:rPr>
              <w:t>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B7EFE02" w14:textId="77777777" w:rsidR="00CF698A" w:rsidRDefault="00CF698A" w:rsidP="00CF698A">
            <w:pPr>
              <w:jc w:val="both"/>
              <w:rPr>
                <w:color w:val="000000"/>
                <w:sz w:val="20"/>
                <w:szCs w:val="20"/>
              </w:rPr>
            </w:pPr>
            <w:r>
              <w:rPr>
                <w:color w:val="000000"/>
                <w:sz w:val="20"/>
                <w:szCs w:val="20"/>
              </w:rPr>
              <w:t>0</w:t>
            </w:r>
          </w:p>
        </w:tc>
      </w:tr>
      <w:tr w:rsidR="00CF698A" w14:paraId="4457FD48"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F98FD3" w14:textId="77777777" w:rsidR="00CF698A" w:rsidRDefault="00CF698A" w:rsidP="00CF698A">
            <w:pPr>
              <w:jc w:val="both"/>
              <w:rPr>
                <w:bCs/>
                <w:color w:val="000000"/>
                <w:sz w:val="20"/>
                <w:szCs w:val="20"/>
              </w:rPr>
            </w:pPr>
            <w:proofErr w:type="spellStart"/>
            <w:r>
              <w:rPr>
                <w:bCs/>
                <w:color w:val="000000"/>
                <w:sz w:val="20"/>
                <w:szCs w:val="20"/>
              </w:rPr>
              <w:t>leaf_mr_base</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906E16F" w14:textId="4DB55418" w:rsidR="00CF698A" w:rsidRDefault="00F07767" w:rsidP="00CF698A">
            <w:pPr>
              <w:jc w:val="both"/>
              <w:rPr>
                <w:color w:val="000000"/>
                <w:sz w:val="20"/>
                <w:szCs w:val="20"/>
              </w:rPr>
            </w:pPr>
            <w:r w:rsidRPr="00F07767">
              <w:rPr>
                <w:color w:val="000000"/>
                <w:sz w:val="20"/>
                <w:szCs w:val="20"/>
              </w:rPr>
              <w:t>0.0045873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A0DBA93" w14:textId="7388836F" w:rsidR="00CF698A" w:rsidRDefault="00F07767" w:rsidP="00CF698A">
            <w:pPr>
              <w:jc w:val="both"/>
              <w:rPr>
                <w:color w:val="000000"/>
                <w:sz w:val="20"/>
                <w:szCs w:val="20"/>
              </w:rPr>
            </w:pPr>
            <w:r w:rsidRPr="00F07767">
              <w:rPr>
                <w:color w:val="000000"/>
                <w:sz w:val="20"/>
                <w:szCs w:val="20"/>
              </w:rPr>
              <w:t>0.004708636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F066CA3" w14:textId="026057FD" w:rsidR="00CF698A" w:rsidRDefault="00F07767" w:rsidP="00CF698A">
            <w:pPr>
              <w:jc w:val="both"/>
              <w:rPr>
                <w:color w:val="000000"/>
                <w:sz w:val="20"/>
                <w:szCs w:val="20"/>
              </w:rPr>
            </w:pPr>
            <w:r w:rsidRPr="00F07767">
              <w:rPr>
                <w:color w:val="000000"/>
                <w:sz w:val="20"/>
                <w:szCs w:val="20"/>
              </w:rPr>
              <w:t>0.010576909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199ECBB" w14:textId="29E02B74" w:rsidR="00CF698A" w:rsidRDefault="00F07767" w:rsidP="00CF698A">
            <w:pPr>
              <w:jc w:val="both"/>
              <w:rPr>
                <w:color w:val="000000"/>
                <w:sz w:val="20"/>
                <w:szCs w:val="20"/>
              </w:rPr>
            </w:pPr>
            <w:r w:rsidRPr="00F07767">
              <w:rPr>
                <w:color w:val="000000"/>
                <w:sz w:val="20"/>
                <w:szCs w:val="20"/>
              </w:rPr>
              <w:t>0.007899038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D4E2773" w14:textId="3CA854E8" w:rsidR="00CF698A" w:rsidRDefault="00F07767" w:rsidP="00CF698A">
            <w:pPr>
              <w:jc w:val="both"/>
              <w:rPr>
                <w:color w:val="000000"/>
                <w:sz w:val="20"/>
                <w:szCs w:val="20"/>
              </w:rPr>
            </w:pPr>
            <w:r w:rsidRPr="00F07767">
              <w:rPr>
                <w:color w:val="000000"/>
                <w:sz w:val="20"/>
                <w:szCs w:val="20"/>
              </w:rPr>
              <w:t>0.009870217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1FF6544" w14:textId="7AACF0DE" w:rsidR="00CF698A" w:rsidRDefault="00F07767" w:rsidP="00CF698A">
            <w:pPr>
              <w:jc w:val="both"/>
              <w:rPr>
                <w:color w:val="000000"/>
                <w:sz w:val="20"/>
                <w:szCs w:val="20"/>
              </w:rPr>
            </w:pPr>
            <w:r w:rsidRPr="00F07767">
              <w:rPr>
                <w:color w:val="000000"/>
                <w:sz w:val="20"/>
                <w:szCs w:val="20"/>
              </w:rPr>
              <w:t>0.011250925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41EC552" w14:textId="56D43702" w:rsidR="00CF698A" w:rsidRDefault="00F07767" w:rsidP="00CF698A">
            <w:pPr>
              <w:jc w:val="both"/>
              <w:rPr>
                <w:color w:val="000000"/>
                <w:sz w:val="20"/>
                <w:szCs w:val="20"/>
              </w:rPr>
            </w:pPr>
            <w:r w:rsidRPr="00F07767">
              <w:rPr>
                <w:color w:val="000000"/>
                <w:sz w:val="20"/>
                <w:szCs w:val="20"/>
              </w:rPr>
              <w:t>0.011681959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2514EB5" w14:textId="425BDED1" w:rsidR="00CF698A" w:rsidRDefault="00F07767" w:rsidP="00CF698A">
            <w:pPr>
              <w:jc w:val="both"/>
              <w:rPr>
                <w:color w:val="000000"/>
                <w:sz w:val="20"/>
                <w:szCs w:val="20"/>
              </w:rPr>
            </w:pPr>
            <w:r w:rsidRPr="00F07767">
              <w:rPr>
                <w:color w:val="000000"/>
                <w:sz w:val="20"/>
                <w:szCs w:val="20"/>
              </w:rPr>
              <w:t>0.012591166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DC44269" w14:textId="7C4F9278" w:rsidR="00CF698A" w:rsidRDefault="00F07767" w:rsidP="00CF698A">
            <w:pPr>
              <w:jc w:val="both"/>
              <w:rPr>
                <w:color w:val="000000"/>
                <w:sz w:val="20"/>
                <w:szCs w:val="20"/>
              </w:rPr>
            </w:pPr>
            <w:r w:rsidRPr="00F07767">
              <w:rPr>
                <w:color w:val="000000"/>
                <w:sz w:val="20"/>
                <w:szCs w:val="20"/>
              </w:rPr>
              <w:t>0.012322036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AE5F417" w14:textId="710495E0" w:rsidR="00CF698A" w:rsidRDefault="00F07767" w:rsidP="00CF698A">
            <w:pPr>
              <w:jc w:val="both"/>
              <w:rPr>
                <w:color w:val="000000"/>
                <w:sz w:val="20"/>
                <w:szCs w:val="20"/>
              </w:rPr>
            </w:pPr>
            <w:r w:rsidRPr="00F07767">
              <w:rPr>
                <w:color w:val="000000"/>
                <w:sz w:val="20"/>
                <w:szCs w:val="20"/>
              </w:rPr>
              <w:t>0.01215599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0551D5D" w14:textId="3AC83B4F" w:rsidR="00CF698A" w:rsidRDefault="00F07767" w:rsidP="00CF698A">
            <w:pPr>
              <w:jc w:val="both"/>
              <w:rPr>
                <w:color w:val="000000"/>
                <w:sz w:val="20"/>
                <w:szCs w:val="20"/>
              </w:rPr>
            </w:pPr>
            <w:r w:rsidRPr="00F07767">
              <w:rPr>
                <w:color w:val="000000"/>
                <w:sz w:val="20"/>
                <w:szCs w:val="20"/>
              </w:rPr>
              <w:t>0.01739118</w:t>
            </w:r>
          </w:p>
        </w:tc>
      </w:tr>
      <w:tr w:rsidR="00CF698A" w14:paraId="6831032A"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252A62" w14:textId="77777777" w:rsidR="00CF698A" w:rsidRDefault="00CF698A" w:rsidP="00CF698A">
            <w:pPr>
              <w:jc w:val="both"/>
              <w:rPr>
                <w:bCs/>
                <w:color w:val="000000"/>
                <w:sz w:val="20"/>
                <w:szCs w:val="20"/>
              </w:rPr>
            </w:pPr>
            <w:proofErr w:type="spellStart"/>
            <w:r>
              <w:rPr>
                <w:bCs/>
                <w:color w:val="000000"/>
                <w:sz w:val="20"/>
                <w:szCs w:val="20"/>
              </w:rPr>
              <w:t>froot_mr_base</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B121227" w14:textId="0B2719EE" w:rsidR="00CF698A" w:rsidRDefault="00F07767" w:rsidP="00CF698A">
            <w:pPr>
              <w:jc w:val="both"/>
              <w:rPr>
                <w:color w:val="000000"/>
                <w:sz w:val="20"/>
                <w:szCs w:val="20"/>
              </w:rPr>
            </w:pPr>
            <w:r w:rsidRPr="00F07767">
              <w:rPr>
                <w:color w:val="000000"/>
                <w:sz w:val="20"/>
                <w:szCs w:val="20"/>
              </w:rPr>
              <w:t>0.013803817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54A9A41" w14:textId="219C6D1E" w:rsidR="00CF698A" w:rsidRDefault="00F07767" w:rsidP="00CF698A">
            <w:pPr>
              <w:jc w:val="both"/>
              <w:rPr>
                <w:color w:val="000000"/>
                <w:sz w:val="20"/>
                <w:szCs w:val="20"/>
              </w:rPr>
            </w:pPr>
            <w:r w:rsidRPr="00F07767">
              <w:rPr>
                <w:color w:val="000000"/>
                <w:sz w:val="20"/>
                <w:szCs w:val="20"/>
              </w:rPr>
              <w:t>0.010412713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801F773" w14:textId="4473311E" w:rsidR="00CF698A" w:rsidRDefault="00F07767" w:rsidP="00CF698A">
            <w:pPr>
              <w:jc w:val="both"/>
              <w:rPr>
                <w:color w:val="000000"/>
                <w:sz w:val="20"/>
                <w:szCs w:val="20"/>
              </w:rPr>
            </w:pPr>
            <w:r w:rsidRPr="00F07767">
              <w:rPr>
                <w:color w:val="000000"/>
                <w:sz w:val="20"/>
                <w:szCs w:val="20"/>
              </w:rPr>
              <w:t>0.012288615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F3E8FC9" w14:textId="7036A8A4" w:rsidR="00CF698A" w:rsidRDefault="00F07767" w:rsidP="00CF698A">
            <w:pPr>
              <w:jc w:val="both"/>
              <w:rPr>
                <w:color w:val="000000"/>
                <w:sz w:val="20"/>
                <w:szCs w:val="20"/>
              </w:rPr>
            </w:pPr>
            <w:r w:rsidRPr="00F07767">
              <w:rPr>
                <w:color w:val="000000"/>
                <w:sz w:val="20"/>
                <w:szCs w:val="20"/>
              </w:rPr>
              <w:t>0.009599052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B9312AC" w14:textId="0C658BF7" w:rsidR="00CF698A" w:rsidRDefault="00F07767" w:rsidP="00CF698A">
            <w:pPr>
              <w:jc w:val="both"/>
              <w:rPr>
                <w:color w:val="000000"/>
                <w:sz w:val="20"/>
                <w:szCs w:val="20"/>
              </w:rPr>
            </w:pPr>
            <w:r w:rsidRPr="00F07767">
              <w:rPr>
                <w:color w:val="000000"/>
                <w:sz w:val="20"/>
                <w:szCs w:val="20"/>
              </w:rPr>
              <w:t>0.015769351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69B6F19B" w14:textId="3EB8E8E9" w:rsidR="00CF698A" w:rsidRDefault="00F07767" w:rsidP="00CF698A">
            <w:pPr>
              <w:jc w:val="both"/>
              <w:rPr>
                <w:color w:val="000000"/>
                <w:sz w:val="20"/>
                <w:szCs w:val="20"/>
              </w:rPr>
            </w:pPr>
            <w:r w:rsidRPr="00F07767">
              <w:rPr>
                <w:color w:val="000000"/>
                <w:sz w:val="20"/>
                <w:szCs w:val="20"/>
              </w:rPr>
              <w:t>0.005380182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C7162E6" w14:textId="06764C76" w:rsidR="00CF698A" w:rsidRDefault="00F07767" w:rsidP="00CF698A">
            <w:pPr>
              <w:jc w:val="both"/>
              <w:rPr>
                <w:color w:val="000000"/>
                <w:sz w:val="20"/>
                <w:szCs w:val="20"/>
              </w:rPr>
            </w:pPr>
            <w:r w:rsidRPr="00F07767">
              <w:rPr>
                <w:color w:val="000000"/>
                <w:sz w:val="20"/>
                <w:szCs w:val="20"/>
              </w:rPr>
              <w:t>0.005586302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143D6D08" w14:textId="31284FF3" w:rsidR="00CF698A" w:rsidRDefault="00F07767" w:rsidP="00CF698A">
            <w:pPr>
              <w:jc w:val="both"/>
              <w:rPr>
                <w:color w:val="000000"/>
                <w:sz w:val="20"/>
                <w:szCs w:val="20"/>
              </w:rPr>
            </w:pPr>
            <w:r w:rsidRPr="00F07767">
              <w:rPr>
                <w:color w:val="000000"/>
                <w:sz w:val="20"/>
                <w:szCs w:val="20"/>
              </w:rPr>
              <w:t>0.005886983</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BF7CD3E" w14:textId="4C15991D" w:rsidR="00CF698A" w:rsidRDefault="00F07767" w:rsidP="00CF698A">
            <w:pPr>
              <w:jc w:val="both"/>
              <w:rPr>
                <w:color w:val="000000"/>
                <w:sz w:val="20"/>
                <w:szCs w:val="20"/>
              </w:rPr>
            </w:pPr>
            <w:r w:rsidRPr="00F07767">
              <w:rPr>
                <w:color w:val="000000"/>
                <w:sz w:val="20"/>
                <w:szCs w:val="20"/>
              </w:rPr>
              <w:t>0.009025719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D3A6E99" w14:textId="38917C77" w:rsidR="00CF698A" w:rsidRDefault="00F07767" w:rsidP="00CF698A">
            <w:pPr>
              <w:jc w:val="both"/>
              <w:rPr>
                <w:color w:val="000000"/>
                <w:sz w:val="20"/>
                <w:szCs w:val="20"/>
              </w:rPr>
            </w:pPr>
            <w:r w:rsidRPr="00F07767">
              <w:rPr>
                <w:color w:val="000000"/>
                <w:sz w:val="20"/>
                <w:szCs w:val="20"/>
              </w:rPr>
              <w:t>0.013253009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092F073F" w14:textId="5C4D6CC6" w:rsidR="00CF698A" w:rsidRDefault="00F07767" w:rsidP="00CF698A">
            <w:pPr>
              <w:jc w:val="both"/>
              <w:rPr>
                <w:color w:val="000000"/>
                <w:sz w:val="20"/>
                <w:szCs w:val="20"/>
              </w:rPr>
            </w:pPr>
            <w:r w:rsidRPr="00F07767">
              <w:rPr>
                <w:color w:val="000000"/>
                <w:sz w:val="20"/>
                <w:szCs w:val="20"/>
              </w:rPr>
              <w:t>0.014227382</w:t>
            </w:r>
          </w:p>
        </w:tc>
      </w:tr>
      <w:tr w:rsidR="00CF698A" w14:paraId="10CE5819" w14:textId="77777777" w:rsidTr="00CF698A">
        <w:trPr>
          <w:trHeight w:val="269"/>
        </w:trPr>
        <w:tc>
          <w:tcPr>
            <w:tcW w:w="14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9ACA19F" w14:textId="77777777" w:rsidR="00CF698A" w:rsidRDefault="00CF698A" w:rsidP="00CF698A">
            <w:pPr>
              <w:jc w:val="both"/>
              <w:rPr>
                <w:bCs/>
                <w:color w:val="000000"/>
                <w:sz w:val="20"/>
                <w:szCs w:val="20"/>
              </w:rPr>
            </w:pPr>
            <w:proofErr w:type="spellStart"/>
            <w:r>
              <w:rPr>
                <w:bCs/>
                <w:color w:val="000000"/>
                <w:sz w:val="20"/>
                <w:szCs w:val="20"/>
              </w:rPr>
              <w:t>livewood_mr_base</w:t>
            </w:r>
            <w:proofErr w:type="spellEnd"/>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11EF2DC" w14:textId="286404A4" w:rsidR="00CF698A" w:rsidRDefault="00315A2B" w:rsidP="00CF698A">
            <w:pPr>
              <w:jc w:val="both"/>
              <w:rPr>
                <w:color w:val="000000"/>
                <w:sz w:val="20"/>
                <w:szCs w:val="20"/>
              </w:rPr>
            </w:pPr>
            <w:r w:rsidRPr="00315A2B">
              <w:rPr>
                <w:color w:val="000000"/>
                <w:sz w:val="20"/>
                <w:szCs w:val="20"/>
              </w:rPr>
              <w:t>0.004782412</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A52BF33" w14:textId="39D673B5" w:rsidR="00CF698A" w:rsidRDefault="00315A2B" w:rsidP="00CF698A">
            <w:pPr>
              <w:jc w:val="both"/>
              <w:rPr>
                <w:color w:val="000000"/>
                <w:sz w:val="20"/>
                <w:szCs w:val="20"/>
              </w:rPr>
            </w:pPr>
            <w:r w:rsidRPr="00315A2B">
              <w:rPr>
                <w:color w:val="000000"/>
                <w:sz w:val="20"/>
                <w:szCs w:val="20"/>
              </w:rPr>
              <w:t>0.002544197</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6CB9827" w14:textId="6E7ED9A3" w:rsidR="00CF698A" w:rsidRDefault="00315A2B" w:rsidP="00CF698A">
            <w:pPr>
              <w:jc w:val="both"/>
              <w:rPr>
                <w:color w:val="000000"/>
                <w:sz w:val="20"/>
                <w:szCs w:val="20"/>
              </w:rPr>
            </w:pPr>
            <w:r w:rsidRPr="00315A2B">
              <w:rPr>
                <w:color w:val="000000"/>
                <w:sz w:val="20"/>
                <w:szCs w:val="20"/>
              </w:rPr>
              <w:t>0.004257461</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73F331C9" w14:textId="260CF860" w:rsidR="00CF698A" w:rsidRDefault="00315A2B" w:rsidP="00CF698A">
            <w:pPr>
              <w:jc w:val="both"/>
              <w:rPr>
                <w:color w:val="000000"/>
                <w:sz w:val="20"/>
                <w:szCs w:val="20"/>
              </w:rPr>
            </w:pPr>
            <w:r w:rsidRPr="00315A2B">
              <w:rPr>
                <w:color w:val="000000"/>
                <w:sz w:val="20"/>
                <w:szCs w:val="20"/>
              </w:rPr>
              <w:t>0.00234539</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AC9F02E" w14:textId="22C663B5" w:rsidR="00CF698A" w:rsidRDefault="00315A2B" w:rsidP="00CF698A">
            <w:pPr>
              <w:jc w:val="both"/>
              <w:rPr>
                <w:color w:val="000000"/>
                <w:sz w:val="20"/>
                <w:szCs w:val="20"/>
              </w:rPr>
            </w:pPr>
            <w:r w:rsidRPr="00315A2B">
              <w:rPr>
                <w:color w:val="000000"/>
                <w:sz w:val="20"/>
                <w:szCs w:val="20"/>
              </w:rPr>
              <w:t>0.003752125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42BAB0C4" w14:textId="31083190" w:rsidR="00CF698A" w:rsidRDefault="00315A2B" w:rsidP="00CF698A">
            <w:pPr>
              <w:jc w:val="both"/>
              <w:rPr>
                <w:color w:val="000000"/>
                <w:sz w:val="20"/>
                <w:szCs w:val="20"/>
              </w:rPr>
            </w:pPr>
            <w:r w:rsidRPr="00315A2B">
              <w:rPr>
                <w:color w:val="000000"/>
                <w:sz w:val="20"/>
                <w:szCs w:val="20"/>
              </w:rPr>
              <w:t>0.00738886</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F602E48" w14:textId="4036FC19" w:rsidR="00CF698A" w:rsidRDefault="00315A2B" w:rsidP="00CF698A">
            <w:pPr>
              <w:jc w:val="both"/>
              <w:rPr>
                <w:color w:val="000000"/>
                <w:sz w:val="20"/>
                <w:szCs w:val="20"/>
              </w:rPr>
            </w:pPr>
            <w:r w:rsidRPr="00315A2B">
              <w:rPr>
                <w:color w:val="000000"/>
                <w:sz w:val="20"/>
                <w:szCs w:val="20"/>
              </w:rPr>
              <w:t>0.007671934</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2AB6C56E" w14:textId="1BAD9D82" w:rsidR="00CF698A" w:rsidRDefault="00315A2B" w:rsidP="00CF698A">
            <w:pPr>
              <w:jc w:val="both"/>
              <w:rPr>
                <w:color w:val="000000"/>
                <w:sz w:val="20"/>
                <w:szCs w:val="20"/>
              </w:rPr>
            </w:pPr>
            <w:r w:rsidRPr="00315A2B">
              <w:rPr>
                <w:color w:val="000000"/>
                <w:sz w:val="20"/>
                <w:szCs w:val="20"/>
              </w:rPr>
              <w:t>0.00504555</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0CA47C4" w14:textId="012F3536" w:rsidR="00CF698A" w:rsidRDefault="00315A2B" w:rsidP="00CF698A">
            <w:pPr>
              <w:jc w:val="both"/>
              <w:rPr>
                <w:color w:val="000000"/>
                <w:sz w:val="20"/>
                <w:szCs w:val="20"/>
              </w:rPr>
            </w:pPr>
            <w:r w:rsidRPr="00315A2B">
              <w:rPr>
                <w:color w:val="000000"/>
                <w:sz w:val="20"/>
                <w:szCs w:val="20"/>
              </w:rPr>
              <w:t>0.004915688</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33113584" w14:textId="77777777" w:rsidR="00CF698A" w:rsidRDefault="00CF698A" w:rsidP="00CF698A">
            <w:pPr>
              <w:jc w:val="both"/>
              <w:rPr>
                <w:color w:val="000000"/>
                <w:sz w:val="20"/>
                <w:szCs w:val="20"/>
              </w:rPr>
            </w:pPr>
            <w:r>
              <w:rPr>
                <w:color w:val="000000"/>
                <w:sz w:val="20"/>
                <w:szCs w:val="20"/>
              </w:rPr>
              <w:t>0</w:t>
            </w:r>
          </w:p>
        </w:tc>
        <w:tc>
          <w:tcPr>
            <w:tcW w:w="1044" w:type="dxa"/>
            <w:tcBorders>
              <w:top w:val="single" w:sz="4" w:space="0" w:color="000000"/>
              <w:left w:val="single" w:sz="4" w:space="0" w:color="000000"/>
              <w:bottom w:val="single" w:sz="4" w:space="0" w:color="000000"/>
              <w:right w:val="single" w:sz="4" w:space="0" w:color="000000"/>
            </w:tcBorders>
            <w:shd w:val="clear" w:color="auto" w:fill="FFFFFF" w:themeFill="background1"/>
            <w:vAlign w:val="bottom"/>
          </w:tcPr>
          <w:p w14:paraId="5531F93F" w14:textId="77777777" w:rsidR="00CF698A" w:rsidRDefault="00CF698A" w:rsidP="00CF698A">
            <w:pPr>
              <w:jc w:val="both"/>
              <w:rPr>
                <w:color w:val="000000"/>
                <w:sz w:val="20"/>
                <w:szCs w:val="20"/>
              </w:rPr>
            </w:pPr>
            <w:r>
              <w:rPr>
                <w:color w:val="000000"/>
                <w:sz w:val="20"/>
                <w:szCs w:val="20"/>
              </w:rPr>
              <w:t>0</w:t>
            </w:r>
          </w:p>
        </w:tc>
      </w:tr>
    </w:tbl>
    <w:p w14:paraId="62199465" w14:textId="77777777" w:rsidR="0078185C" w:rsidRDefault="0078185C">
      <w:pPr>
        <w:jc w:val="both"/>
      </w:pPr>
    </w:p>
    <w:p w14:paraId="5B90DD89" w14:textId="32294F28" w:rsidR="0078185C" w:rsidRDefault="00000000">
      <w:pPr>
        <w:jc w:val="both"/>
        <w:sectPr w:rsidR="0078185C">
          <w:headerReference w:type="default" r:id="rId19"/>
          <w:footerReference w:type="default" r:id="rId20"/>
          <w:pgSz w:w="15840" w:h="12240" w:orient="landscape"/>
          <w:pgMar w:top="1797" w:right="1440" w:bottom="1809" w:left="1418" w:header="0" w:footer="0" w:gutter="0"/>
          <w:cols w:space="720"/>
          <w:formProt w:val="0"/>
          <w:docGrid w:linePitch="360"/>
        </w:sectPr>
      </w:pPr>
      <w:r>
        <w:t xml:space="preserve">*: </w:t>
      </w:r>
      <w:r w:rsidR="004522EA">
        <w:t>F</w:t>
      </w:r>
      <w:r>
        <w:t>or leaves, a temperature acclimation Q</w:t>
      </w:r>
      <w:r>
        <w:rPr>
          <w:vertAlign w:val="subscript"/>
        </w:rPr>
        <w:t>10</w:t>
      </w:r>
      <w:r>
        <w:t xml:space="preserve"> value is used as described in Equation</w:t>
      </w:r>
      <w:r w:rsidR="00BA6CDE">
        <w:t xml:space="preserve"> 1.7</w:t>
      </w:r>
      <w:r>
        <w:t>.</w:t>
      </w:r>
    </w:p>
    <w:p w14:paraId="45198A77" w14:textId="4DF29960" w:rsidR="00CD52CC" w:rsidRDefault="00CD52CC">
      <w:pPr>
        <w:pStyle w:val="Heading2"/>
      </w:pPr>
      <w:bookmarkStart w:id="14" w:name="_Toc181041985"/>
      <w:r>
        <w:lastRenderedPageBreak/>
        <w:t xml:space="preserve">2.3. Adjusted </w:t>
      </w:r>
      <w:r w:rsidR="00FD29D5">
        <w:t xml:space="preserve">two parameters in </w:t>
      </w:r>
      <w:r>
        <w:t xml:space="preserve">recalibrated </w:t>
      </w:r>
      <w:r w:rsidR="00380B3B">
        <w:t xml:space="preserve">MODIS </w:t>
      </w:r>
      <w:r>
        <w:t>BPLUT for VIIRS</w:t>
      </w:r>
      <w:bookmarkEnd w:id="14"/>
    </w:p>
    <w:p w14:paraId="176E9693" w14:textId="77777777" w:rsidR="00CD52CC" w:rsidRDefault="00CD52CC">
      <w:pPr>
        <w:pStyle w:val="Heading2"/>
      </w:pPr>
    </w:p>
    <w:p w14:paraId="02653E13" w14:textId="65E49590" w:rsidR="004A3A2A" w:rsidRDefault="00380B3B" w:rsidP="00380B3B">
      <w:pPr>
        <w:jc w:val="both"/>
      </w:pPr>
      <w:r>
        <w:t xml:space="preserve">Below is the method of </w:t>
      </w:r>
      <w:r w:rsidR="00932722">
        <w:t xml:space="preserve">adjusting </w:t>
      </w:r>
      <w:r>
        <w:t>the recalibrated BPLUT of MODIS GPP/NPP for VIIRS</w:t>
      </w:r>
      <w:r w:rsidR="00932722">
        <w:t xml:space="preserve"> ones</w:t>
      </w:r>
      <w:r>
        <w:t xml:space="preserve">.  The method of calibration of BPLUT by using 20+ years of MODIS data combined with GPP derived from global FLUXNET and </w:t>
      </w:r>
      <w:r w:rsidRPr="00380B3B">
        <w:rPr>
          <w:i/>
          <w:iCs/>
        </w:rPr>
        <w:t>in-situ</w:t>
      </w:r>
      <w:r>
        <w:t xml:space="preserve"> NPP measurements is detailed in Endsley et al. (2023).  One way for C2 VIIRS GPP/NPP is to directly adopt the </w:t>
      </w:r>
      <w:r w:rsidR="00DC33B8">
        <w:t xml:space="preserve">MODIS-based </w:t>
      </w:r>
      <w:r>
        <w:t>recalibrated BPLUT</w:t>
      </w:r>
      <w:r w:rsidR="00DC33B8">
        <w:t xml:space="preserve">. </w:t>
      </w:r>
      <w:r>
        <w:t xml:space="preserve">However, </w:t>
      </w:r>
      <w:r w:rsidR="00DC33B8">
        <w:t>though the global averaged 8-day FPAR/LAI show high level of consistency (</w:t>
      </w:r>
      <w:r w:rsidR="006F1356" w:rsidRPr="006F1356">
        <w:rPr>
          <w:bCs/>
        </w:rPr>
        <w:t>Román</w:t>
      </w:r>
      <w:r w:rsidR="00DC33B8">
        <w:t xml:space="preserve"> et al., 2024), at local or even biome type scales, we can still find some expected minor differences </w:t>
      </w:r>
      <w:r w:rsidR="00BD53F6">
        <w:t xml:space="preserve">in FPAR/LAI between VIIRS and MODIS which are </w:t>
      </w:r>
      <w:r w:rsidR="00932722">
        <w:t xml:space="preserve">mainly </w:t>
      </w:r>
      <w:r w:rsidR="00DC33B8">
        <w:t xml:space="preserve">caused by differences in sensor, sun-sensor geometry, and atmospheric conditions.  </w:t>
      </w:r>
      <w:r w:rsidR="00932722">
        <w:t>For MOD17 and VNP17, the only difference between the two is the input FPAR/LAI</w:t>
      </w:r>
      <w:r w:rsidR="00FD29D5">
        <w:t xml:space="preserve"> if a same BPLUT is applied</w:t>
      </w:r>
      <w:r w:rsidR="00932722">
        <w:t xml:space="preserve">.  </w:t>
      </w:r>
      <w:r w:rsidR="00DC33B8">
        <w:t>To miti</w:t>
      </w:r>
      <w:r w:rsidR="004A3A2A">
        <w:t xml:space="preserve">gate the differences in FPAR/LAI between C2 VIIRS and C6.1 MODIS so that we have a </w:t>
      </w:r>
      <w:r w:rsidR="00932722">
        <w:t xml:space="preserve">more </w:t>
      </w:r>
      <w:r w:rsidR="004A3A2A">
        <w:t xml:space="preserve">consistent GPP/NPP between the two sensors, </w:t>
      </w:r>
      <w:r>
        <w:t xml:space="preserve">we </w:t>
      </w:r>
      <w:r w:rsidR="00932722">
        <w:t xml:space="preserve">have </w:t>
      </w:r>
      <w:r w:rsidR="004A3A2A">
        <w:t>develop</w:t>
      </w:r>
      <w:r w:rsidR="00932722">
        <w:t>ed</w:t>
      </w:r>
      <w:r w:rsidR="004A3A2A">
        <w:t xml:space="preserve"> a method to adjust certain parameters in the BPLUT to offset the differences in FPAR/LAI</w:t>
      </w:r>
      <w:r w:rsidR="00932722">
        <w:t xml:space="preserve"> between the two sensors</w:t>
      </w:r>
      <w:r w:rsidR="004A3A2A">
        <w:t>.</w:t>
      </w:r>
    </w:p>
    <w:p w14:paraId="207C6889" w14:textId="77777777" w:rsidR="004A3A2A" w:rsidRDefault="004A3A2A" w:rsidP="00380B3B">
      <w:pPr>
        <w:jc w:val="both"/>
      </w:pPr>
    </w:p>
    <w:p w14:paraId="0BCCFFC4" w14:textId="267D4674" w:rsidR="00380B3B" w:rsidRDefault="00FD29D5" w:rsidP="00380B3B">
      <w:pPr>
        <w:jc w:val="both"/>
      </w:pPr>
      <w:r>
        <w:t xml:space="preserve">The nature of GPP/NPP algorithm makes our method possible because FPAR and LAI are linearly expressed in the GPP and </w:t>
      </w:r>
      <w:r w:rsidR="000322BB">
        <w:t xml:space="preserve">maintenance </w:t>
      </w:r>
      <w:r>
        <w:t>respiration</w:t>
      </w:r>
      <w:r w:rsidR="000322BB">
        <w:t xml:space="preserve"> (Rm)</w:t>
      </w:r>
      <w:r>
        <w:t xml:space="preserve"> components. We</w:t>
      </w:r>
      <w:r w:rsidR="00380B3B">
        <w:t xml:space="preserve"> revised two parameters, </w:t>
      </w:r>
      <w:proofErr w:type="spellStart"/>
      <w:r w:rsidR="00380B3B">
        <w:t>LUEmax</w:t>
      </w:r>
      <w:proofErr w:type="spellEnd"/>
      <w:r w:rsidR="00380B3B">
        <w:t xml:space="preserve"> and SLA, for each biome type to offset the differences in FPAR/LAI between VNP15 and MOD15. In this way, for a given land cover </w:t>
      </w:r>
      <w:r w:rsidR="000322BB">
        <w:t xml:space="preserve">or biome </w:t>
      </w:r>
      <w:r w:rsidR="00380B3B">
        <w:t>type, mean GPP and NPP would be almost the same.</w:t>
      </w:r>
    </w:p>
    <w:p w14:paraId="527CAC2A" w14:textId="77777777" w:rsidR="00380B3B" w:rsidRDefault="00380B3B" w:rsidP="00380B3B">
      <w:pPr>
        <w:jc w:val="both"/>
      </w:pPr>
    </w:p>
    <w:p w14:paraId="13E5964F" w14:textId="77777777" w:rsidR="00380B3B" w:rsidRDefault="00380B3B" w:rsidP="00380B3B">
      <w:pPr>
        <w:ind w:firstLine="720"/>
        <w:jc w:val="both"/>
      </w:pPr>
      <w:r>
        <w:t>In the MOD17 algorithm, GPP is calculated as below equation:</w:t>
      </w:r>
    </w:p>
    <w:p w14:paraId="69C42060" w14:textId="77777777" w:rsidR="00380B3B" w:rsidRDefault="00380B3B" w:rsidP="00380B3B">
      <w:pPr>
        <w:jc w:val="both"/>
      </w:pPr>
    </w:p>
    <w:p w14:paraId="241AEE40" w14:textId="429E1ADE" w:rsidR="00380B3B" w:rsidRDefault="00380B3B" w:rsidP="00380B3B">
      <w:pPr>
        <w:ind w:left="720" w:firstLine="720"/>
        <w:jc w:val="both"/>
      </w:pPr>
      <m:oMath>
        <m:r>
          <w:rPr>
            <w:rFonts w:ascii="Cambria Math" w:hAnsi="Cambria Math"/>
          </w:rPr>
          <m:t>GPP=LUEmax*FPAR*f(Tmin, VPD)</m:t>
        </m:r>
      </m:oMath>
      <w:r>
        <w:tab/>
      </w:r>
      <w:r>
        <w:tab/>
      </w:r>
      <w:r>
        <w:tab/>
      </w:r>
      <w:r>
        <w:tab/>
      </w:r>
      <w:r>
        <w:tab/>
      </w:r>
      <w:r w:rsidRPr="003D7065">
        <w:rPr>
          <w:b/>
          <w:bCs/>
        </w:rPr>
        <w:t>(</w:t>
      </w:r>
      <w:r w:rsidR="003D7065" w:rsidRPr="003D7065">
        <w:rPr>
          <w:b/>
          <w:bCs/>
        </w:rPr>
        <w:t>2.</w:t>
      </w:r>
      <w:r w:rsidRPr="003D7065">
        <w:rPr>
          <w:b/>
          <w:bCs/>
        </w:rPr>
        <w:t>1)</w:t>
      </w:r>
    </w:p>
    <w:p w14:paraId="3832CBE4" w14:textId="77777777" w:rsidR="00380B3B" w:rsidRDefault="00380B3B" w:rsidP="00380B3B">
      <w:pPr>
        <w:jc w:val="both"/>
      </w:pPr>
    </w:p>
    <w:p w14:paraId="0FC4BDFA" w14:textId="77777777" w:rsidR="00380B3B" w:rsidRDefault="00380B3B" w:rsidP="00380B3B">
      <w:pPr>
        <w:jc w:val="both"/>
      </w:pPr>
      <w:r>
        <w:t xml:space="preserve">Where </w:t>
      </w:r>
      <m:oMath>
        <m:r>
          <w:rPr>
            <w:rFonts w:ascii="Cambria Math" w:hAnsi="Cambria Math"/>
          </w:rPr>
          <m:t>f(Tmin, VPD)</m:t>
        </m:r>
      </m:oMath>
      <w:r>
        <w:t xml:space="preserve"> is the same because of the same meteorological data are being used.  Therefore, to get the same VNP17 GPP as that of MOD17 for a given land cover type, the revised </w:t>
      </w:r>
      <w:r w:rsidRPr="00A57854">
        <w:rPr>
          <w:i/>
          <w:iCs/>
        </w:rPr>
        <w:t>LUEmax</w:t>
      </w:r>
      <w:r>
        <w:t xml:space="preserve"> of VNP17 should be</w:t>
      </w:r>
    </w:p>
    <w:p w14:paraId="09B8D2A0" w14:textId="77777777" w:rsidR="00380B3B" w:rsidRDefault="00380B3B" w:rsidP="00380B3B">
      <w:pPr>
        <w:jc w:val="both"/>
      </w:pPr>
    </w:p>
    <w:p w14:paraId="1274FD73" w14:textId="3F0DCF93" w:rsidR="00380B3B" w:rsidRDefault="00380B3B" w:rsidP="00380B3B">
      <w:pPr>
        <w:ind w:firstLine="720"/>
        <w:jc w:val="both"/>
      </w:pPr>
      <m:oMath>
        <m:r>
          <w:rPr>
            <w:rFonts w:ascii="Cambria Math" w:hAnsi="Cambria Math"/>
          </w:rPr>
          <m:t>LUEma</m:t>
        </m:r>
        <m:sSub>
          <m:sSubPr>
            <m:ctrlPr>
              <w:rPr>
                <w:rFonts w:ascii="Cambria Math" w:hAnsi="Cambria Math"/>
                <w:i/>
              </w:rPr>
            </m:ctrlPr>
          </m:sSubPr>
          <m:e>
            <m:r>
              <w:rPr>
                <w:rFonts w:ascii="Cambria Math" w:hAnsi="Cambria Math"/>
              </w:rPr>
              <m:t>x</m:t>
            </m:r>
          </m:e>
          <m:sub>
            <m:r>
              <w:rPr>
                <w:rFonts w:ascii="Cambria Math" w:hAnsi="Cambria Math"/>
              </w:rPr>
              <m:t>VNP</m:t>
            </m:r>
          </m:sub>
        </m:sSub>
        <m:r>
          <w:rPr>
            <w:rFonts w:ascii="Cambria Math" w:hAnsi="Cambria Math"/>
          </w:rPr>
          <m:t>=LUEma</m:t>
        </m:r>
        <m:sSub>
          <m:sSubPr>
            <m:ctrlPr>
              <w:rPr>
                <w:rFonts w:ascii="Cambria Math" w:hAnsi="Cambria Math"/>
                <w:i/>
              </w:rPr>
            </m:ctrlPr>
          </m:sSubPr>
          <m:e>
            <m:r>
              <w:rPr>
                <w:rFonts w:ascii="Cambria Math" w:hAnsi="Cambria Math"/>
              </w:rPr>
              <m:t>x</m:t>
            </m:r>
          </m:e>
          <m:sub>
            <m:r>
              <w:rPr>
                <w:rFonts w:ascii="Cambria Math" w:hAnsi="Cambria Math"/>
              </w:rPr>
              <m:t>MOD</m:t>
            </m:r>
          </m:sub>
        </m:sSub>
        <m:r>
          <w:rPr>
            <w:rFonts w:ascii="Cambria Math" w:hAnsi="Cambria Math"/>
          </w:rPr>
          <m:t>*(FPA</m:t>
        </m:r>
        <m:sSub>
          <m:sSubPr>
            <m:ctrlPr>
              <w:rPr>
                <w:rFonts w:ascii="Cambria Math" w:hAnsi="Cambria Math"/>
                <w:i/>
              </w:rPr>
            </m:ctrlPr>
          </m:sSubPr>
          <m:e>
            <m:r>
              <w:rPr>
                <w:rFonts w:ascii="Cambria Math" w:hAnsi="Cambria Math"/>
              </w:rPr>
              <m:t>R</m:t>
            </m:r>
          </m:e>
          <m:sub>
            <m:r>
              <w:rPr>
                <w:rFonts w:ascii="Cambria Math" w:hAnsi="Cambria Math"/>
              </w:rPr>
              <m:t>MOD</m:t>
            </m:r>
          </m:sub>
        </m:sSub>
        <m:r>
          <w:rPr>
            <w:rFonts w:ascii="Cambria Math" w:hAnsi="Cambria Math"/>
          </w:rPr>
          <m:t>/FPA</m:t>
        </m:r>
        <m:sSub>
          <m:sSubPr>
            <m:ctrlPr>
              <w:rPr>
                <w:rFonts w:ascii="Cambria Math" w:hAnsi="Cambria Math"/>
                <w:i/>
              </w:rPr>
            </m:ctrlPr>
          </m:sSubPr>
          <m:e>
            <m:r>
              <w:rPr>
                <w:rFonts w:ascii="Cambria Math" w:hAnsi="Cambria Math"/>
              </w:rPr>
              <m:t>R</m:t>
            </m:r>
          </m:e>
          <m:sub>
            <m:r>
              <w:rPr>
                <w:rFonts w:ascii="Cambria Math" w:hAnsi="Cambria Math"/>
              </w:rPr>
              <m:t>VNP</m:t>
            </m:r>
          </m:sub>
        </m:sSub>
        <m:r>
          <w:rPr>
            <w:rFonts w:ascii="Cambria Math" w:hAnsi="Cambria Math"/>
          </w:rPr>
          <m:t>)</m:t>
        </m:r>
      </m:oMath>
      <w:r>
        <w:tab/>
      </w:r>
      <w:r>
        <w:tab/>
      </w:r>
      <w:r>
        <w:tab/>
      </w:r>
      <w:r>
        <w:tab/>
      </w:r>
      <w:r w:rsidRPr="003D7065">
        <w:rPr>
          <w:b/>
          <w:bCs/>
        </w:rPr>
        <w:t>(</w:t>
      </w:r>
      <w:r w:rsidR="003D7065" w:rsidRPr="003D7065">
        <w:rPr>
          <w:b/>
          <w:bCs/>
        </w:rPr>
        <w:t>2.</w:t>
      </w:r>
      <w:r w:rsidRPr="003D7065">
        <w:rPr>
          <w:b/>
          <w:bCs/>
        </w:rPr>
        <w:t>2)</w:t>
      </w:r>
    </w:p>
    <w:p w14:paraId="2D2BD688" w14:textId="77777777" w:rsidR="00380B3B" w:rsidRDefault="00380B3B" w:rsidP="00380B3B">
      <w:pPr>
        <w:jc w:val="both"/>
      </w:pPr>
    </w:p>
    <w:p w14:paraId="05D1EA43" w14:textId="77777777" w:rsidR="00380B3B" w:rsidRDefault="00380B3B" w:rsidP="00380B3B">
      <w:pPr>
        <w:jc w:val="both"/>
      </w:pPr>
      <w:r>
        <w:t xml:space="preserve">NPP is the residual of GPP after </w:t>
      </w:r>
      <w:proofErr w:type="spellStart"/>
      <w:r>
        <w:t>autotrophical</w:t>
      </w:r>
      <w:proofErr w:type="spellEnd"/>
      <w:r>
        <w:t xml:space="preserve"> respiration from live biomass (M) cost is subtracted.  </w:t>
      </w:r>
      <w:proofErr w:type="spellStart"/>
      <w:r>
        <w:t>Autotrophical</w:t>
      </w:r>
      <w:proofErr w:type="spellEnd"/>
      <w:r>
        <w:t xml:space="preserve"> respiration include growth and maintenance respiration (Rm). Growth respiration is assumed 25% of NPP, thus NPP = 0.8 * (GPP - Rm).  To have the same NPP, Rm should also be the same after we have the same GPP as mentioned above. Rm is calculated as below:</w:t>
      </w:r>
    </w:p>
    <w:p w14:paraId="6114D16C" w14:textId="77777777" w:rsidR="00380B3B" w:rsidRDefault="00380B3B" w:rsidP="00380B3B">
      <w:pPr>
        <w:jc w:val="both"/>
      </w:pPr>
    </w:p>
    <w:p w14:paraId="76B30834" w14:textId="4AD4E90C" w:rsidR="00380B3B" w:rsidRDefault="00380B3B" w:rsidP="00380B3B">
      <w:pPr>
        <w:ind w:left="1440" w:firstLine="720"/>
        <w:jc w:val="both"/>
      </w:pPr>
      <m:oMath>
        <m:r>
          <w:rPr>
            <w:rFonts w:ascii="Cambria Math" w:hAnsi="Cambria Math"/>
          </w:rPr>
          <m:t>Rm=M*Res(Q10,  Tavg)</m:t>
        </m:r>
      </m:oMath>
      <w:r>
        <w:tab/>
      </w:r>
      <w:r>
        <w:tab/>
      </w:r>
      <w:r>
        <w:tab/>
      </w:r>
      <w:r>
        <w:tab/>
      </w:r>
      <w:r>
        <w:tab/>
        <w:t xml:space="preserve">            </w:t>
      </w:r>
      <w:r w:rsidRPr="003D7065">
        <w:rPr>
          <w:b/>
          <w:bCs/>
        </w:rPr>
        <w:t>(</w:t>
      </w:r>
      <w:r w:rsidR="003D7065" w:rsidRPr="003D7065">
        <w:rPr>
          <w:b/>
          <w:bCs/>
        </w:rPr>
        <w:t>2.</w:t>
      </w:r>
      <w:r w:rsidRPr="003D7065">
        <w:rPr>
          <w:b/>
          <w:bCs/>
        </w:rPr>
        <w:t>3)</w:t>
      </w:r>
    </w:p>
    <w:p w14:paraId="4D4EA947" w14:textId="77777777" w:rsidR="00380B3B" w:rsidRDefault="00380B3B" w:rsidP="00380B3B">
      <w:pPr>
        <w:jc w:val="both"/>
      </w:pPr>
    </w:p>
    <w:p w14:paraId="5DC0E255" w14:textId="77777777" w:rsidR="00380B3B" w:rsidRDefault="00380B3B" w:rsidP="00380B3B">
      <w:pPr>
        <w:jc w:val="both"/>
      </w:pPr>
      <w:r>
        <w:t xml:space="preserve">Where </w:t>
      </w:r>
      <m:oMath>
        <m:r>
          <w:rPr>
            <w:rFonts w:ascii="Cambria Math" w:hAnsi="Cambria Math"/>
          </w:rPr>
          <m:t>Res(Q10,  Tavg)</m:t>
        </m:r>
      </m:oMath>
      <w:r>
        <w:t xml:space="preserve"> is the respiration rate and the term is the same because of the same meteorological data are being used.  Thus, biomass should be the same if we want to have same Rm. The term leaf biomass M is calculated as</w:t>
      </w:r>
    </w:p>
    <w:p w14:paraId="4BB7B30A" w14:textId="77777777" w:rsidR="00380B3B" w:rsidRDefault="00380B3B" w:rsidP="00380B3B">
      <w:pPr>
        <w:jc w:val="both"/>
      </w:pPr>
    </w:p>
    <w:p w14:paraId="615C7081" w14:textId="62D9251B" w:rsidR="00380B3B" w:rsidRDefault="00380B3B" w:rsidP="00380B3B">
      <w:pPr>
        <w:ind w:left="2160" w:firstLine="720"/>
        <w:jc w:val="both"/>
      </w:pPr>
      <m:oMath>
        <m:r>
          <w:rPr>
            <w:rFonts w:ascii="Cambria Math" w:hAnsi="Cambria Math"/>
          </w:rPr>
          <m:t>M=LAI/SLA</m:t>
        </m:r>
      </m:oMath>
      <w:r>
        <w:tab/>
      </w:r>
      <w:r>
        <w:tab/>
      </w:r>
      <w:r>
        <w:tab/>
      </w:r>
      <w:r>
        <w:tab/>
      </w:r>
      <w:r>
        <w:tab/>
      </w:r>
      <w:r>
        <w:tab/>
      </w:r>
      <w:r>
        <w:tab/>
      </w:r>
      <w:r w:rsidRPr="003D7065">
        <w:rPr>
          <w:b/>
          <w:bCs/>
        </w:rPr>
        <w:t>(</w:t>
      </w:r>
      <w:r w:rsidR="003D7065" w:rsidRPr="003D7065">
        <w:rPr>
          <w:b/>
          <w:bCs/>
        </w:rPr>
        <w:t>2.</w:t>
      </w:r>
      <w:r w:rsidRPr="003D7065">
        <w:rPr>
          <w:b/>
          <w:bCs/>
        </w:rPr>
        <w:t>4)</w:t>
      </w:r>
    </w:p>
    <w:p w14:paraId="3254F7F4" w14:textId="77777777" w:rsidR="00380B3B" w:rsidRDefault="00380B3B" w:rsidP="00380B3B">
      <w:pPr>
        <w:jc w:val="both"/>
      </w:pPr>
    </w:p>
    <w:p w14:paraId="00B9257C" w14:textId="77777777" w:rsidR="00380B3B" w:rsidRDefault="00380B3B" w:rsidP="00380B3B">
      <w:pPr>
        <w:jc w:val="both"/>
      </w:pPr>
      <w:r>
        <w:t xml:space="preserve">Biomass of fine root and live wood is derived based on allometric relationship with leaf biomass. Therefore, if </w:t>
      </w:r>
      <w:r w:rsidRPr="00A57854">
        <w:rPr>
          <w:i/>
          <w:iCs/>
        </w:rPr>
        <w:t>SLA</w:t>
      </w:r>
      <w:r>
        <w:t xml:space="preserve"> is adjusted to produce the same amount of biomass between MOD17 and </w:t>
      </w:r>
      <w:r>
        <w:lastRenderedPageBreak/>
        <w:t>VNP17, Rm and subsequent NPP will be the same.  To get the same M, SLA for VNP17 should be revised as</w:t>
      </w:r>
    </w:p>
    <w:p w14:paraId="59DFB15B" w14:textId="77777777" w:rsidR="00380B3B" w:rsidRDefault="00380B3B" w:rsidP="00380B3B">
      <w:pPr>
        <w:jc w:val="both"/>
      </w:pPr>
    </w:p>
    <w:p w14:paraId="75A3C972" w14:textId="7B3E02A7" w:rsidR="00380B3B" w:rsidRDefault="00380B3B" w:rsidP="00380B3B">
      <w:pPr>
        <w:jc w:val="both"/>
      </w:pPr>
      <w:r>
        <w:tab/>
      </w:r>
      <w:r>
        <w:tab/>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VNP</m:t>
            </m:r>
          </m:sub>
        </m:sSub>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MOD</m:t>
            </m:r>
          </m:sub>
        </m:sSub>
        <m:r>
          <w:rPr>
            <w:rFonts w:ascii="Cambria Math" w:hAnsi="Cambria Math"/>
          </w:rPr>
          <m:t>*(LA</m:t>
        </m:r>
        <m:sSub>
          <m:sSubPr>
            <m:ctrlPr>
              <w:rPr>
                <w:rFonts w:ascii="Cambria Math" w:hAnsi="Cambria Math"/>
                <w:i/>
              </w:rPr>
            </m:ctrlPr>
          </m:sSubPr>
          <m:e>
            <m:r>
              <w:rPr>
                <w:rFonts w:ascii="Cambria Math" w:hAnsi="Cambria Math"/>
              </w:rPr>
              <m:t>I</m:t>
            </m:r>
          </m:e>
          <m:sub>
            <m:r>
              <w:rPr>
                <w:rFonts w:ascii="Cambria Math" w:hAnsi="Cambria Math"/>
              </w:rPr>
              <m:t>VNP</m:t>
            </m:r>
          </m:sub>
        </m:sSub>
        <m:r>
          <w:rPr>
            <w:rFonts w:ascii="Cambria Math" w:hAnsi="Cambria Math"/>
          </w:rPr>
          <m:t>/LA</m:t>
        </m:r>
        <m:sSub>
          <m:sSubPr>
            <m:ctrlPr>
              <w:rPr>
                <w:rFonts w:ascii="Cambria Math" w:hAnsi="Cambria Math"/>
                <w:i/>
              </w:rPr>
            </m:ctrlPr>
          </m:sSubPr>
          <m:e>
            <m:r>
              <w:rPr>
                <w:rFonts w:ascii="Cambria Math" w:hAnsi="Cambria Math"/>
              </w:rPr>
              <m:t>I</m:t>
            </m:r>
          </m:e>
          <m:sub>
            <m:r>
              <w:rPr>
                <w:rFonts w:ascii="Cambria Math" w:hAnsi="Cambria Math"/>
              </w:rPr>
              <m:t>MOD</m:t>
            </m:r>
          </m:sub>
        </m:sSub>
        <m:r>
          <w:rPr>
            <w:rFonts w:ascii="Cambria Math" w:hAnsi="Cambria Math"/>
          </w:rPr>
          <m:t>)</m:t>
        </m:r>
      </m:oMath>
      <w:r>
        <w:tab/>
      </w:r>
      <w:r>
        <w:tab/>
      </w:r>
      <w:r>
        <w:tab/>
      </w:r>
      <w:r>
        <w:tab/>
      </w:r>
      <w:r>
        <w:tab/>
      </w:r>
      <w:r w:rsidRPr="003D7065">
        <w:rPr>
          <w:b/>
          <w:bCs/>
        </w:rPr>
        <w:t>(</w:t>
      </w:r>
      <w:r w:rsidR="003D7065" w:rsidRPr="003D7065">
        <w:rPr>
          <w:b/>
          <w:bCs/>
        </w:rPr>
        <w:t>2.</w:t>
      </w:r>
      <w:r w:rsidRPr="003D7065">
        <w:rPr>
          <w:b/>
          <w:bCs/>
        </w:rPr>
        <w:t>5)</w:t>
      </w:r>
    </w:p>
    <w:p w14:paraId="27741A78" w14:textId="77777777" w:rsidR="00380B3B" w:rsidRDefault="00380B3B" w:rsidP="00380B3B">
      <w:pPr>
        <w:jc w:val="both"/>
      </w:pPr>
    </w:p>
    <w:p w14:paraId="281A160F" w14:textId="0D4AB345" w:rsidR="00380B3B" w:rsidRPr="00380B3B" w:rsidRDefault="00380B3B" w:rsidP="005D2075">
      <w:pPr>
        <w:jc w:val="both"/>
      </w:pPr>
      <w:r>
        <w:t xml:space="preserve">We called the above terms of </w:t>
      </w:r>
      <m:oMath>
        <m:r>
          <w:rPr>
            <w:rFonts w:ascii="Cambria Math" w:hAnsi="Cambria Math"/>
          </w:rPr>
          <m:t>(FPA</m:t>
        </m:r>
        <m:sSub>
          <m:sSubPr>
            <m:ctrlPr>
              <w:rPr>
                <w:rFonts w:ascii="Cambria Math" w:hAnsi="Cambria Math"/>
                <w:i/>
              </w:rPr>
            </m:ctrlPr>
          </m:sSubPr>
          <m:e>
            <m:r>
              <w:rPr>
                <w:rFonts w:ascii="Cambria Math" w:hAnsi="Cambria Math"/>
              </w:rPr>
              <m:t>R</m:t>
            </m:r>
          </m:e>
          <m:sub>
            <m:r>
              <w:rPr>
                <w:rFonts w:ascii="Cambria Math" w:hAnsi="Cambria Math"/>
              </w:rPr>
              <m:t>MOD</m:t>
            </m:r>
          </m:sub>
        </m:sSub>
        <m:r>
          <w:rPr>
            <w:rFonts w:ascii="Cambria Math" w:hAnsi="Cambria Math"/>
          </w:rPr>
          <m:t>/FPA</m:t>
        </m:r>
        <m:sSub>
          <m:sSubPr>
            <m:ctrlPr>
              <w:rPr>
                <w:rFonts w:ascii="Cambria Math" w:hAnsi="Cambria Math"/>
                <w:i/>
              </w:rPr>
            </m:ctrlPr>
          </m:sSubPr>
          <m:e>
            <m:r>
              <w:rPr>
                <w:rFonts w:ascii="Cambria Math" w:hAnsi="Cambria Math"/>
              </w:rPr>
              <m:t>R</m:t>
            </m:r>
          </m:e>
          <m:sub>
            <m:r>
              <w:rPr>
                <w:rFonts w:ascii="Cambria Math" w:hAnsi="Cambria Math"/>
              </w:rPr>
              <m:t>VNP</m:t>
            </m:r>
          </m:sub>
        </m:sSub>
        <m:r>
          <w:rPr>
            <w:rFonts w:ascii="Cambria Math" w:hAnsi="Cambria Math"/>
          </w:rPr>
          <m:t>)</m:t>
        </m:r>
      </m:oMath>
      <w:r>
        <w:rPr>
          <w:rFonts w:eastAsiaTheme="minorEastAsia"/>
        </w:rPr>
        <w:t xml:space="preserve"> </w:t>
      </w:r>
      <w:r>
        <w:t xml:space="preserve">in equation </w:t>
      </w:r>
      <w:r w:rsidR="003D7065">
        <w:t>2.</w:t>
      </w:r>
      <w:r>
        <w:t xml:space="preserve">2 and </w:t>
      </w:r>
      <m:oMath>
        <m:r>
          <w:rPr>
            <w:rFonts w:ascii="Cambria Math" w:hAnsi="Cambria Math"/>
          </w:rPr>
          <m:t>(LA</m:t>
        </m:r>
        <m:sSub>
          <m:sSubPr>
            <m:ctrlPr>
              <w:rPr>
                <w:rFonts w:ascii="Cambria Math" w:hAnsi="Cambria Math"/>
                <w:i/>
              </w:rPr>
            </m:ctrlPr>
          </m:sSubPr>
          <m:e>
            <m:r>
              <w:rPr>
                <w:rFonts w:ascii="Cambria Math" w:hAnsi="Cambria Math"/>
              </w:rPr>
              <m:t>I</m:t>
            </m:r>
          </m:e>
          <m:sub>
            <m:r>
              <w:rPr>
                <w:rFonts w:ascii="Cambria Math" w:hAnsi="Cambria Math"/>
              </w:rPr>
              <m:t>VNP</m:t>
            </m:r>
          </m:sub>
        </m:sSub>
        <m:r>
          <w:rPr>
            <w:rFonts w:ascii="Cambria Math" w:hAnsi="Cambria Math"/>
          </w:rPr>
          <m:t>/LA</m:t>
        </m:r>
        <m:sSub>
          <m:sSubPr>
            <m:ctrlPr>
              <w:rPr>
                <w:rFonts w:ascii="Cambria Math" w:hAnsi="Cambria Math"/>
                <w:i/>
              </w:rPr>
            </m:ctrlPr>
          </m:sSubPr>
          <m:e>
            <m:r>
              <w:rPr>
                <w:rFonts w:ascii="Cambria Math" w:hAnsi="Cambria Math"/>
              </w:rPr>
              <m:t>I</m:t>
            </m:r>
          </m:e>
          <m:sub>
            <m:r>
              <w:rPr>
                <w:rFonts w:ascii="Cambria Math" w:hAnsi="Cambria Math"/>
              </w:rPr>
              <m:t>MOD</m:t>
            </m:r>
          </m:sub>
        </m:sSub>
        <m:r>
          <w:rPr>
            <w:rFonts w:ascii="Cambria Math" w:hAnsi="Cambria Math"/>
          </w:rPr>
          <m:t>)</m:t>
        </m:r>
      </m:oMath>
      <w:r>
        <w:t xml:space="preserve"> in equation </w:t>
      </w:r>
      <w:r w:rsidR="003D7065">
        <w:t>2.</w:t>
      </w:r>
      <w:r>
        <w:t xml:space="preserve">5 as multipliers of </w:t>
      </w:r>
      <w:r w:rsidRPr="00033BFB">
        <w:rPr>
          <w:i/>
          <w:iCs/>
        </w:rPr>
        <w:t>LUEmax</w:t>
      </w:r>
      <w:r>
        <w:t xml:space="preserve"> and </w:t>
      </w:r>
      <w:r w:rsidRPr="00033BFB">
        <w:rPr>
          <w:i/>
          <w:iCs/>
        </w:rPr>
        <w:t>SLA</w:t>
      </w:r>
      <w:r>
        <w:t>.  One note is that GPP is only accumulated in growing season and Rm is much greater in warm season than dormant season because of the combination of more leaf biomass in growing season and the non-linear relationship between temperature and respiration.  Therefore, we used the mean FPAR and LAI for C6</w:t>
      </w:r>
      <w:r w:rsidR="00033BFB">
        <w:t>.</w:t>
      </w:r>
      <w:r>
        <w:t xml:space="preserve">1 MODIS and C2 VIIRS only during the growing season. The growing season is defined as these days when daily </w:t>
      </w:r>
      <w:proofErr w:type="spellStart"/>
      <w:r>
        <w:t>Tmin</w:t>
      </w:r>
      <w:proofErr w:type="spellEnd"/>
      <w:r>
        <w:t xml:space="preserve"> down regulator for GPP is above 0.01.  To get the two multipliers, we used their growing season means for the overlapped 12-year period between MODIS and </w:t>
      </w:r>
      <w:r w:rsidR="005D2075">
        <w:t>VIIRS from S-NPP</w:t>
      </w:r>
      <w:r>
        <w:t xml:space="preserve"> (2012 to 2023).</w:t>
      </w:r>
      <w:r w:rsidR="00DF3360">
        <w:t xml:space="preserve">  To reduce data volume, we use</w:t>
      </w:r>
      <w:r w:rsidR="005D2075">
        <w:t>d</w:t>
      </w:r>
      <w:r w:rsidR="00DF3360">
        <w:t xml:space="preserve"> </w:t>
      </w:r>
      <w:r w:rsidR="005D2075">
        <w:t>5km average FPAR/LAI based on dominant land cover types in a 10 by 10 500m window for our global tests (Endsley et al., 2023).  We didn’t use FPAR/LAI from JPSS-1 and assume that S-NPP and JPSS-1 overall have the VIIRS FPAR/LAI with the same magnitude.</w:t>
      </w:r>
    </w:p>
    <w:p w14:paraId="48A0FADE" w14:textId="7FE1E080" w:rsidR="00CD52CC" w:rsidRDefault="00CD52CC">
      <w:pPr>
        <w:pStyle w:val="Heading2"/>
      </w:pPr>
      <w:r>
        <w:t xml:space="preserve"> </w:t>
      </w:r>
    </w:p>
    <w:p w14:paraId="1C9A0CA6" w14:textId="6EBD6EAB" w:rsidR="0078185C" w:rsidRDefault="00000000">
      <w:pPr>
        <w:pStyle w:val="Heading2"/>
        <w:rPr>
          <w:i/>
        </w:rPr>
      </w:pPr>
      <w:bookmarkStart w:id="15" w:name="_Toc181041986"/>
      <w:r>
        <w:t>2.</w:t>
      </w:r>
      <w:r w:rsidR="00095AFE">
        <w:t>4</w:t>
      </w:r>
      <w:r>
        <w:t xml:space="preserve">. Leaf area index and fraction of absorbed photosynthetically active </w:t>
      </w:r>
      <w:r w:rsidR="008A316B">
        <w:t>radiation</w:t>
      </w:r>
      <w:bookmarkEnd w:id="15"/>
      <w:r>
        <w:t xml:space="preserve">  </w:t>
      </w:r>
    </w:p>
    <w:p w14:paraId="0DA123B1" w14:textId="77777777" w:rsidR="0078185C" w:rsidRDefault="0078185C">
      <w:pPr>
        <w:ind w:firstLine="720"/>
        <w:jc w:val="both"/>
        <w:rPr>
          <w:b/>
          <w:i/>
        </w:rPr>
      </w:pPr>
    </w:p>
    <w:p w14:paraId="0E530179" w14:textId="0593CF25" w:rsidR="0078185C" w:rsidRDefault="29B8089E" w:rsidP="29B8089E">
      <w:pPr>
        <w:ind w:firstLine="720"/>
        <w:jc w:val="both"/>
        <w:rPr>
          <w:b/>
          <w:bCs/>
          <w:i/>
          <w:iCs/>
        </w:rPr>
      </w:pPr>
      <w:r>
        <w:t>As illustrated in Figure 2.1, the primary productivity at a pixel is dependent upon, among other things, 500-m LAI and FPAR, calculated with the VIIR</w:t>
      </w:r>
      <w:r w:rsidR="00D44F39">
        <w:t>S</w:t>
      </w:r>
      <w:r>
        <w:t xml:space="preserve"> VNP15 or VJ115 algorithm, and used as a key model input here.  The LAI/FPAR product is an eight-day composite product (</w:t>
      </w:r>
      <w:r w:rsidRPr="29B8089E">
        <w:rPr>
          <w:rStyle w:val="Hyperlink"/>
        </w:rPr>
        <w:t>https://viirsland.gsfc.nasa.gov/Products/NASA/LAI_FparESDR.html</w:t>
      </w:r>
      <w:r>
        <w:t xml:space="preserve">).  </w:t>
      </w:r>
    </w:p>
    <w:p w14:paraId="4C4CEA3D" w14:textId="3406B88C" w:rsidR="0078185C" w:rsidRDefault="00000000" w:rsidP="00D44F39">
      <w:pPr>
        <w:ind w:firstLine="720"/>
        <w:jc w:val="both"/>
        <w:rPr>
          <w:b/>
          <w:i/>
        </w:rPr>
      </w:pPr>
      <w:r>
        <w:t>The 8-day, 500-m VNP15A2H or VJ115A2H compositing algorithm uses a simple selection rule whereby the maximum FPAR (across the eight days) is chosen for the inclusion as the output pixel. The same day chosen to represent the FPAR measure also contributes the current pixel’s LAI value. This means that although primary productivity is calculated daily, the VNP17 algorithm necessarily assumes that leaf area and FPAR do not vary during a given 8-day period. Compositing of LAI and FPAR is required to provide an accurate depiction of global leaf area dynamics with consideration of spectral cloud contamination, particularly in the tropics.</w:t>
      </w:r>
    </w:p>
    <w:p w14:paraId="50895670" w14:textId="77777777" w:rsidR="0078185C" w:rsidRDefault="0078185C">
      <w:pPr>
        <w:jc w:val="both"/>
        <w:rPr>
          <w:b/>
          <w:bCs/>
        </w:rPr>
      </w:pPr>
    </w:p>
    <w:p w14:paraId="64760B03" w14:textId="12D87FA5" w:rsidR="0078185C" w:rsidRDefault="00000000">
      <w:pPr>
        <w:pStyle w:val="Heading2"/>
        <w:rPr>
          <w:i/>
        </w:rPr>
      </w:pPr>
      <w:bookmarkStart w:id="16" w:name="_Toc181041987"/>
      <w:r>
        <w:t>2.</w:t>
      </w:r>
      <w:r w:rsidR="00095AFE">
        <w:t>5</w:t>
      </w:r>
      <w:r>
        <w:t>. Cloud Screening for Forward and Year-end Gap-filled VNP17A2[3]GF</w:t>
      </w:r>
      <w:bookmarkEnd w:id="16"/>
    </w:p>
    <w:p w14:paraId="38C1F859" w14:textId="77777777" w:rsidR="0078185C" w:rsidRDefault="0078185C">
      <w:pPr>
        <w:ind w:firstLine="720"/>
        <w:jc w:val="both"/>
        <w:rPr>
          <w:b/>
          <w:i/>
        </w:rPr>
      </w:pPr>
    </w:p>
    <w:p w14:paraId="3AAE3BE8" w14:textId="0BBE6F49" w:rsidR="0078185C" w:rsidRDefault="29B8089E">
      <w:pPr>
        <w:ind w:firstLine="720"/>
        <w:jc w:val="both"/>
        <w:rPr>
          <w:color w:val="000000" w:themeColor="text1"/>
        </w:rPr>
      </w:pPr>
      <w:r>
        <w:t xml:space="preserve">Cloud- and-aerosol contaminated FPAR/LAI inputs from the 8-day VNP15A2H or VJ115A2H can introduce substantial error to the estimated GPP/NPP. To address this issue, VIIRS GPP and NPP follow the method applied to C6.1 MOD17. For the forward VNP17, a 5-year rolling climatology FPAR/LAI are used as backup to replace the VIIRS FPAR/LAI labeled with poor quality in its quality control data fields. This process ensures a consistent low product latency for operational use, although residual effects from the loss of dynamic FPAR/LAI observations for low quality grid cells can still constrain product performance, particularly over the </w:t>
      </w:r>
      <w:r w:rsidR="00826DD1">
        <w:t>cloudy areas</w:t>
      </w:r>
      <w:r w:rsidR="004B75FE">
        <w:t xml:space="preserve"> or seasons</w:t>
      </w:r>
      <w:r w:rsidR="00826DD1">
        <w:t xml:space="preserve"> such as </w:t>
      </w:r>
      <w:r>
        <w:t xml:space="preserve">wet tropics, temperate </w:t>
      </w:r>
      <w:r w:rsidR="004B75FE">
        <w:t xml:space="preserve">forests </w:t>
      </w:r>
      <w:r>
        <w:t xml:space="preserve">and </w:t>
      </w:r>
      <w:r w:rsidR="004B75FE">
        <w:t>raining seasons</w:t>
      </w:r>
      <w:r>
        <w:t xml:space="preserve">. </w:t>
      </w:r>
      <w:r w:rsidR="004B75FE">
        <w:t>I</w:t>
      </w:r>
      <w:r>
        <w:t xml:space="preserve">n each early year phase, when all 8-day VIIRS VNP15A2H or VJ115A2H of the previous year are available, a year-end gap filled 8-day VNP17A2GF and VNP17A3GF for the previous year is produced. </w:t>
      </w:r>
      <w:r w:rsidRPr="00977C54">
        <w:rPr>
          <w:color w:val="000000" w:themeColor="text1"/>
        </w:rPr>
        <w:t>Therefore,</w:t>
      </w:r>
      <w:r w:rsidRPr="29B8089E">
        <w:rPr>
          <w:color w:val="000000" w:themeColor="text1"/>
        </w:rPr>
        <w:t xml:space="preserve"> if the study period is not for the present year,</w:t>
      </w:r>
      <w:r w:rsidRPr="00977C54">
        <w:rPr>
          <w:color w:val="000000" w:themeColor="text1"/>
        </w:rPr>
        <w:t xml:space="preserve"> we suggest </w:t>
      </w:r>
      <w:r w:rsidRPr="29B8089E">
        <w:rPr>
          <w:color w:val="000000" w:themeColor="text1"/>
        </w:rPr>
        <w:t>using</w:t>
      </w:r>
      <w:r w:rsidRPr="00977C54">
        <w:rPr>
          <w:color w:val="000000" w:themeColor="text1"/>
        </w:rPr>
        <w:t xml:space="preserve"> the year-end</w:t>
      </w:r>
      <w:r w:rsidRPr="29B8089E">
        <w:rPr>
          <w:color w:val="000000" w:themeColor="text1"/>
        </w:rPr>
        <w:t>,</w:t>
      </w:r>
      <w:r w:rsidRPr="00977C54">
        <w:rPr>
          <w:color w:val="000000" w:themeColor="text1"/>
        </w:rPr>
        <w:t xml:space="preserve"> gap</w:t>
      </w:r>
      <w:r w:rsidRPr="29B8089E">
        <w:rPr>
          <w:color w:val="000000" w:themeColor="text1"/>
        </w:rPr>
        <w:t>-</w:t>
      </w:r>
      <w:r w:rsidRPr="00977C54">
        <w:rPr>
          <w:color w:val="000000" w:themeColor="text1"/>
        </w:rPr>
        <w:t xml:space="preserve">filled 8-day and annual data products. </w:t>
      </w:r>
      <w:r w:rsidRPr="29B8089E">
        <w:rPr>
          <w:color w:val="000000" w:themeColor="text1"/>
        </w:rPr>
        <w:t xml:space="preserve">To promote the use of the superior, gap-filled products, climatology-filled products of </w:t>
      </w:r>
      <w:r w:rsidRPr="29B8089E">
        <w:rPr>
          <w:color w:val="000000" w:themeColor="text1"/>
        </w:rPr>
        <w:lastRenderedPageBreak/>
        <w:t xml:space="preserve">previous years will be progressively </w:t>
      </w:r>
      <w:r w:rsidR="008A316B" w:rsidRPr="29B8089E">
        <w:rPr>
          <w:color w:val="000000" w:themeColor="text1"/>
        </w:rPr>
        <w:t>deprecated,</w:t>
      </w:r>
      <w:r w:rsidRPr="29B8089E">
        <w:rPr>
          <w:color w:val="000000" w:themeColor="text1"/>
        </w:rPr>
        <w:t xml:space="preserve"> i.e.,</w:t>
      </w:r>
      <w:r w:rsidRPr="00977C54">
        <w:rPr>
          <w:color w:val="000000" w:themeColor="text1"/>
        </w:rPr>
        <w:t xml:space="preserve"> there will be no forward annual VNP17A3 and VJ117A3 of the previous year, and we will stop delivery of the regular 8-day VNP17A2/VJ117A2 of the previous year in early summer (June) of the present year. This will direct users to turn to the higher</w:t>
      </w:r>
      <w:r w:rsidRPr="29B8089E">
        <w:rPr>
          <w:color w:val="000000" w:themeColor="text1"/>
        </w:rPr>
        <w:t>-</w:t>
      </w:r>
      <w:r w:rsidRPr="00977C54">
        <w:rPr>
          <w:color w:val="000000" w:themeColor="text1"/>
        </w:rPr>
        <w:t>quality gap</w:t>
      </w:r>
      <w:r w:rsidRPr="29B8089E">
        <w:rPr>
          <w:color w:val="000000" w:themeColor="text1"/>
        </w:rPr>
        <w:t>-</w:t>
      </w:r>
      <w:r w:rsidRPr="00977C54">
        <w:rPr>
          <w:color w:val="000000" w:themeColor="text1"/>
        </w:rPr>
        <w:t>filled data products: 8-day VNP17A2GF/VJ117A2GF and their annual counterparts VNP17A3GF/VJ117A3GF, over all previous years.</w:t>
      </w:r>
    </w:p>
    <w:p w14:paraId="0C8FE7CE" w14:textId="77777777" w:rsidR="0078185C" w:rsidRDefault="0078185C">
      <w:pPr>
        <w:ind w:firstLine="720"/>
        <w:jc w:val="both"/>
        <w:rPr>
          <w:b/>
          <w:i/>
        </w:rPr>
      </w:pPr>
    </w:p>
    <w:p w14:paraId="41004F19" w14:textId="438FF85B" w:rsidR="0078185C" w:rsidRPr="0063439D" w:rsidRDefault="00000000" w:rsidP="0063439D">
      <w:pPr>
        <w:pStyle w:val="Heading3"/>
        <w:jc w:val="left"/>
      </w:pPr>
      <w:bookmarkStart w:id="17" w:name="_Toc181041988"/>
      <w:r>
        <w:t>2.</w:t>
      </w:r>
      <w:r w:rsidR="00095AFE">
        <w:t>5</w:t>
      </w:r>
      <w:r>
        <w:t>.1. Climatology FPAR/LAI and Forward VNP17A2</w:t>
      </w:r>
      <w:bookmarkEnd w:id="17"/>
    </w:p>
    <w:p w14:paraId="67C0C651" w14:textId="77777777" w:rsidR="0078185C" w:rsidRDefault="0078185C">
      <w:pPr>
        <w:ind w:firstLine="720"/>
        <w:jc w:val="both"/>
        <w:rPr>
          <w:lang w:val="en-AU"/>
        </w:rPr>
      </w:pPr>
    </w:p>
    <w:p w14:paraId="3D61E043" w14:textId="77777777" w:rsidR="0078185C" w:rsidRDefault="00000000">
      <w:pPr>
        <w:jc w:val="both"/>
        <w:rPr>
          <w:lang w:val="en-AU"/>
        </w:rPr>
      </w:pPr>
      <w:r>
        <w:rPr>
          <w:noProof/>
          <w:lang w:val="en-AU"/>
        </w:rPr>
        <mc:AlternateContent>
          <mc:Choice Requires="wps">
            <w:drawing>
              <wp:anchor distT="0" distB="0" distL="0" distR="0" simplePos="0" relativeHeight="12" behindDoc="0" locked="0" layoutInCell="1" allowOverlap="1" wp14:anchorId="487E2ED7" wp14:editId="07777777">
                <wp:simplePos x="0" y="0"/>
                <wp:positionH relativeFrom="column">
                  <wp:posOffset>802005</wp:posOffset>
                </wp:positionH>
                <wp:positionV relativeFrom="paragraph">
                  <wp:posOffset>36195</wp:posOffset>
                </wp:positionV>
                <wp:extent cx="1045845" cy="339725"/>
                <wp:effectExtent l="25400" t="25400" r="200025" b="207645"/>
                <wp:wrapNone/>
                <wp:docPr id="20" name="Text Box 395"/>
                <wp:cNvGraphicFramePr/>
                <a:graphic xmlns:a="http://schemas.openxmlformats.org/drawingml/2006/main">
                  <a:graphicData uri="http://schemas.microsoft.com/office/word/2010/wordprocessingShape">
                    <wps:wsp>
                      <wps:cNvSpPr/>
                      <wps:spPr>
                        <a:xfrm>
                          <a:off x="0" y="0"/>
                          <a:ext cx="1045080" cy="339120"/>
                        </a:xfrm>
                        <a:prstGeom prst="rect">
                          <a:avLst/>
                        </a:prstGeom>
                        <a:solidFill>
                          <a:srgbClr val="0000CC"/>
                        </a:solidFill>
                        <a:ln w="9360">
                          <a:noFill/>
                        </a:ln>
                        <a:effectLst>
                          <a:outerShdw blurRad="127000" dist="126770" dir="2700000" algn="tl" rotWithShape="0">
                            <a:srgbClr val="000000">
                              <a:alpha val="40000"/>
                            </a:srgbClr>
                          </a:outerShdw>
                        </a:effectLst>
                      </wps:spPr>
                      <wps:style>
                        <a:lnRef idx="0">
                          <a:scrgbClr r="0" g="0" b="0"/>
                        </a:lnRef>
                        <a:fillRef idx="0">
                          <a:scrgbClr r="0" g="0" b="0"/>
                        </a:fillRef>
                        <a:effectRef idx="0">
                          <a:scrgbClr r="0" g="0" b="0"/>
                        </a:effectRef>
                        <a:fontRef idx="minor"/>
                      </wps:style>
                      <wps:txbx>
                        <w:txbxContent>
                          <w:p w14:paraId="29F799C3" w14:textId="77777777" w:rsidR="0078185C" w:rsidRDefault="00000000">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VNP15A2H</w:t>
                            </w:r>
                          </w:p>
                        </w:txbxContent>
                      </wps:txbx>
                      <wps:bodyPr anchor="ctr">
                        <a:noAutofit/>
                      </wps:bodyPr>
                    </wps:wsp>
                  </a:graphicData>
                </a:graphic>
              </wp:anchor>
            </w:drawing>
          </mc:Choice>
          <mc:Fallback>
            <w:pict>
              <v:rect w14:anchorId="487E2ED7" id="Text Box 395" o:spid="_x0000_s1028" style="position:absolute;left:0;text-align:left;margin-left:63.15pt;margin-top:2.85pt;width:82.35pt;height:26.75pt;z-index:12;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" fillcolor="#00c" stroked="f" strokeweight=".26mm">
                <v:shadow on="t" color="black" opacity="26214f" origin="-.5,-.5" offset="2.49mm,2.49mm"/>
                <v:textbox>
                  <w:txbxContent>
                    <w:p w14:paraId="29F799C3" w14:textId="77777777" w:rsidR="0078185C" w:rsidRDefault="00000000">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VNP15A2H</w:t>
                      </w:r>
                    </w:p>
                  </w:txbxContent>
                </v:textbox>
              </v:rect>
            </w:pict>
          </mc:Fallback>
        </mc:AlternateContent>
      </w:r>
      <w:r>
        <w:rPr>
          <w:noProof/>
          <w:lang w:val="en-AU"/>
        </w:rPr>
        <mc:AlternateContent>
          <mc:Choice Requires="wps">
            <w:drawing>
              <wp:anchor distT="0" distB="0" distL="0" distR="0" simplePos="0" relativeHeight="13" behindDoc="0" locked="0" layoutInCell="1" allowOverlap="1" wp14:anchorId="51E6C228" wp14:editId="07777777">
                <wp:simplePos x="0" y="0"/>
                <wp:positionH relativeFrom="column">
                  <wp:posOffset>3724910</wp:posOffset>
                </wp:positionH>
                <wp:positionV relativeFrom="paragraph">
                  <wp:posOffset>48895</wp:posOffset>
                </wp:positionV>
                <wp:extent cx="1403350" cy="339725"/>
                <wp:effectExtent l="25400" t="25400" r="198120" b="207645"/>
                <wp:wrapNone/>
                <wp:docPr id="22" name="Text Box 395"/>
                <wp:cNvGraphicFramePr/>
                <a:graphic xmlns:a="http://schemas.openxmlformats.org/drawingml/2006/main">
                  <a:graphicData uri="http://schemas.microsoft.com/office/word/2010/wordprocessingShape">
                    <wps:wsp>
                      <wps:cNvSpPr/>
                      <wps:spPr>
                        <a:xfrm>
                          <a:off x="0" y="0"/>
                          <a:ext cx="1402560" cy="339120"/>
                        </a:xfrm>
                        <a:prstGeom prst="rect">
                          <a:avLst/>
                        </a:prstGeom>
                        <a:solidFill>
                          <a:srgbClr val="0000CC"/>
                        </a:solidFill>
                        <a:ln w="9360">
                          <a:noFill/>
                        </a:ln>
                        <a:effectLst>
                          <a:outerShdw blurRad="127000" dist="126770" dir="2700000" algn="tl" rotWithShape="0">
                            <a:srgbClr val="000000">
                              <a:alpha val="40000"/>
                            </a:srgbClr>
                          </a:outerShdw>
                        </a:effectLst>
                      </wps:spPr>
                      <wps:style>
                        <a:lnRef idx="0">
                          <a:scrgbClr r="0" g="0" b="0"/>
                        </a:lnRef>
                        <a:fillRef idx="0">
                          <a:scrgbClr r="0" g="0" b="0"/>
                        </a:fillRef>
                        <a:effectRef idx="0">
                          <a:scrgbClr r="0" g="0" b="0"/>
                        </a:effectRef>
                        <a:fontRef idx="minor"/>
                      </wps:style>
                      <wps:txbx>
                        <w:txbxContent>
                          <w:p w14:paraId="6CA82E82" w14:textId="4717D500" w:rsidR="0078185C" w:rsidRDefault="00EA239A">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MCD15A2HCL</w:t>
                            </w:r>
                          </w:p>
                        </w:txbxContent>
                      </wps:txbx>
                      <wps:bodyPr anchor="ctr">
                        <a:noAutofit/>
                      </wps:bodyPr>
                    </wps:wsp>
                  </a:graphicData>
                </a:graphic>
              </wp:anchor>
            </w:drawing>
          </mc:Choice>
          <mc:Fallback>
            <w:pict>
              <v:rect w14:anchorId="51E6C228" id="_x0000_s1029" style="position:absolute;left:0;text-align:left;margin-left:293.3pt;margin-top:3.85pt;width:110.5pt;height:26.75pt;z-index:13;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" fillcolor="#00c" stroked="f" strokeweight=".26mm">
                <v:shadow on="t" color="black" opacity="26214f" origin="-.5,-.5" offset="2.49mm,2.49mm"/>
                <v:textbox>
                  <w:txbxContent>
                    <w:p w14:paraId="6CA82E82" w14:textId="4717D500" w:rsidR="0078185C" w:rsidRDefault="00EA239A">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MCD15A2HCL</w:t>
                      </w:r>
                    </w:p>
                  </w:txbxContent>
                </v:textbox>
              </v:rect>
            </w:pict>
          </mc:Fallback>
        </mc:AlternateContent>
      </w:r>
    </w:p>
    <w:p w14:paraId="308D56CC" w14:textId="77777777" w:rsidR="0078185C" w:rsidRDefault="0078185C">
      <w:pPr>
        <w:jc w:val="both"/>
        <w:rPr>
          <w:lang w:val="en-AU"/>
        </w:rPr>
      </w:pPr>
    </w:p>
    <w:p w14:paraId="5BC958C8" w14:textId="2547C6FC" w:rsidR="0078185C" w:rsidRDefault="00BA6CDE">
      <w:pPr>
        <w:jc w:val="both"/>
        <w:rPr>
          <w:lang w:val="en-AU"/>
        </w:rPr>
      </w:pPr>
      <w:r>
        <w:rPr>
          <w:noProof/>
          <w:lang w:val="en-AU"/>
        </w:rPr>
        <w:drawing>
          <wp:anchor distT="0" distB="0" distL="0" distR="0" simplePos="0" relativeHeight="19" behindDoc="0" locked="0" layoutInCell="1" allowOverlap="1" wp14:anchorId="205E95E0" wp14:editId="676516FA">
            <wp:simplePos x="0" y="0"/>
            <wp:positionH relativeFrom="column">
              <wp:posOffset>3139489</wp:posOffset>
            </wp:positionH>
            <wp:positionV relativeFrom="paragraph">
              <wp:posOffset>139065</wp:posOffset>
            </wp:positionV>
            <wp:extent cx="3202305" cy="1419860"/>
            <wp:effectExtent l="0" t="0" r="0" b="2540"/>
            <wp:wrapNone/>
            <wp:docPr id="2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3"/>
                    <pic:cNvPicPr>
                      <a:picLocks noChangeAspect="1" noChangeArrowheads="1"/>
                    </pic:cNvPicPr>
                  </pic:nvPicPr>
                  <pic:blipFill>
                    <a:blip r:embed="rId21"/>
                    <a:stretch>
                      <a:fillRect/>
                    </a:stretch>
                  </pic:blipFill>
                  <pic:spPr bwMode="auto">
                    <a:xfrm>
                      <a:off x="0" y="0"/>
                      <a:ext cx="3202305" cy="1419860"/>
                    </a:xfrm>
                    <a:prstGeom prst="rect">
                      <a:avLst/>
                    </a:prstGeom>
                  </pic:spPr>
                </pic:pic>
              </a:graphicData>
            </a:graphic>
          </wp:anchor>
        </w:drawing>
      </w:r>
      <w:r>
        <w:rPr>
          <w:noProof/>
          <w:lang w:val="en-AU"/>
        </w:rPr>
        <w:drawing>
          <wp:anchor distT="0" distB="0" distL="0" distR="0" simplePos="0" relativeHeight="18" behindDoc="0" locked="0" layoutInCell="1" allowOverlap="1" wp14:anchorId="2D0A4A1F" wp14:editId="4DA9691B">
            <wp:simplePos x="0" y="0"/>
            <wp:positionH relativeFrom="column">
              <wp:posOffset>-75516</wp:posOffset>
            </wp:positionH>
            <wp:positionV relativeFrom="paragraph">
              <wp:posOffset>153035</wp:posOffset>
            </wp:positionV>
            <wp:extent cx="3211195" cy="1423670"/>
            <wp:effectExtent l="0" t="0" r="1905" b="0"/>
            <wp:wrapNone/>
            <wp:docPr id="2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62"/>
                    <pic:cNvPicPr>
                      <a:picLocks noChangeAspect="1" noChangeArrowheads="1"/>
                    </pic:cNvPicPr>
                  </pic:nvPicPr>
                  <pic:blipFill>
                    <a:blip r:embed="rId22"/>
                    <a:stretch>
                      <a:fillRect/>
                    </a:stretch>
                  </pic:blipFill>
                  <pic:spPr bwMode="auto">
                    <a:xfrm>
                      <a:off x="0" y="0"/>
                      <a:ext cx="3211195" cy="1423670"/>
                    </a:xfrm>
                    <a:prstGeom prst="rect">
                      <a:avLst/>
                    </a:prstGeom>
                  </pic:spPr>
                </pic:pic>
              </a:graphicData>
            </a:graphic>
          </wp:anchor>
        </w:drawing>
      </w:r>
    </w:p>
    <w:p w14:paraId="797E50C6" w14:textId="77777777" w:rsidR="0078185C" w:rsidRDefault="0078185C">
      <w:pPr>
        <w:jc w:val="both"/>
        <w:rPr>
          <w:lang w:val="en-AU"/>
        </w:rPr>
      </w:pPr>
    </w:p>
    <w:p w14:paraId="7B04FA47" w14:textId="77777777" w:rsidR="0078185C" w:rsidRDefault="0078185C">
      <w:pPr>
        <w:jc w:val="both"/>
        <w:rPr>
          <w:lang w:val="en-AU"/>
        </w:rPr>
      </w:pPr>
    </w:p>
    <w:p w14:paraId="568C698B" w14:textId="77777777" w:rsidR="0078185C" w:rsidRDefault="0078185C">
      <w:pPr>
        <w:jc w:val="both"/>
        <w:rPr>
          <w:lang w:val="en-AU"/>
        </w:rPr>
      </w:pPr>
    </w:p>
    <w:p w14:paraId="1A939487" w14:textId="77777777" w:rsidR="0078185C" w:rsidRDefault="0078185C">
      <w:pPr>
        <w:jc w:val="both"/>
        <w:rPr>
          <w:lang w:val="en-AU"/>
        </w:rPr>
      </w:pPr>
    </w:p>
    <w:p w14:paraId="6AA258D8" w14:textId="77777777" w:rsidR="0078185C" w:rsidRDefault="0078185C">
      <w:pPr>
        <w:jc w:val="both"/>
        <w:rPr>
          <w:lang w:val="en-AU"/>
        </w:rPr>
      </w:pPr>
    </w:p>
    <w:p w14:paraId="6FFBD3EC" w14:textId="77777777" w:rsidR="0078185C" w:rsidRDefault="0078185C">
      <w:pPr>
        <w:jc w:val="both"/>
        <w:rPr>
          <w:lang w:val="en-AU"/>
        </w:rPr>
      </w:pPr>
    </w:p>
    <w:p w14:paraId="30DCCCAD" w14:textId="77777777" w:rsidR="0078185C" w:rsidRDefault="0078185C">
      <w:pPr>
        <w:jc w:val="both"/>
        <w:rPr>
          <w:lang w:val="en-AU"/>
        </w:rPr>
      </w:pPr>
    </w:p>
    <w:p w14:paraId="2564AEF2" w14:textId="77777777" w:rsidR="0078185C" w:rsidRDefault="00000000">
      <w:pPr>
        <w:jc w:val="both"/>
        <w:rPr>
          <w:lang w:val="en-AU"/>
        </w:rPr>
      </w:pPr>
      <w:r>
        <w:rPr>
          <w:noProof/>
          <w:lang w:val="en-AU"/>
        </w:rPr>
        <mc:AlternateContent>
          <mc:Choice Requires="wps">
            <w:drawing>
              <wp:anchor distT="0" distB="0" distL="0" distR="0" simplePos="0" relativeHeight="16" behindDoc="0" locked="0" layoutInCell="1" allowOverlap="1" wp14:anchorId="6976850D" wp14:editId="420A1866">
                <wp:simplePos x="0" y="0"/>
                <wp:positionH relativeFrom="column">
                  <wp:posOffset>4188408</wp:posOffset>
                </wp:positionH>
                <wp:positionV relativeFrom="paragraph">
                  <wp:posOffset>79053</wp:posOffset>
                </wp:positionV>
                <wp:extent cx="407088" cy="1045845"/>
                <wp:effectExtent l="0" t="205105" r="22860" b="226060"/>
                <wp:wrapNone/>
                <wp:docPr id="26" name="Down Arrow 38"/>
                <wp:cNvGraphicFramePr/>
                <a:graphic xmlns:a="http://schemas.openxmlformats.org/drawingml/2006/main">
                  <a:graphicData uri="http://schemas.microsoft.com/office/word/2010/wordprocessingShape">
                    <wps:wsp>
                      <wps:cNvSpPr/>
                      <wps:spPr>
                        <a:xfrm rot="3328800">
                          <a:off x="0" y="0"/>
                          <a:ext cx="407088" cy="1045845"/>
                        </a:xfrm>
                        <a:prstGeom prst="downArrow">
                          <a:avLst>
                            <a:gd name="adj1" fmla="val 50000"/>
                            <a:gd name="adj2" fmla="val 50000"/>
                          </a:avLst>
                        </a:prstGeom>
                        <a:ln>
                          <a:solidFill>
                            <a:srgbClr val="4A7EBB"/>
                          </a:solidFill>
                          <a:round/>
                        </a:ln>
                        <a:effectLst>
                          <a:outerShdw blurRad="40000" dist="23040" dir="5400000" rotWithShape="0">
                            <a:srgbClr val="000000">
                              <a:alpha val="35000"/>
                            </a:srgbClr>
                          </a:outerShdw>
                        </a:effectLst>
                      </wps:spPr>
                      <wps:style>
                        <a:lnRef idx="1">
                          <a:schemeClr val="accent1"/>
                        </a:lnRef>
                        <a:fillRef idx="3">
                          <a:schemeClr val="accent1"/>
                        </a:fillRef>
                        <a:effectRef idx="2">
                          <a:schemeClr val="accent1"/>
                        </a:effectRef>
                        <a:fontRef idx="minor"/>
                      </wps:style>
                      <wps:bodyPr/>
                    </wps:wsp>
                  </a:graphicData>
                </a:graphic>
                <wp14:sizeRelH relativeFrom="margin">
                  <wp14:pctWidth>0</wp14:pctWidth>
                </wp14:sizeRelH>
              </wp:anchor>
            </w:drawing>
          </mc:Choice>
          <mc:Fallback>
            <w:pict>
              <v:shapetype w14:anchorId="7D68B05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26" type="#_x0000_t67" style="position:absolute;margin-left:329.8pt;margin-top:6.2pt;width:32.05pt;height:82.35pt;rotation:3635937fd;z-index:16;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" adj="17396" fillcolor="#4f81bd [3204]" strokecolor="#4a7ebb">
                <v:fill color2="#a7bfde [1620]" rotate="t" angle="180" focus="100%" type="gradient">
                  <o:fill v:ext="view" type="gradientUnscaled"/>
                </v:fill>
                <v:stroke joinstyle="round"/>
                <v:shadow on="t" color="black" opacity="22937f" origin=",.5" offset="0,.64mm"/>
              </v:shape>
            </w:pict>
          </mc:Fallback>
        </mc:AlternateContent>
      </w:r>
    </w:p>
    <w:p w14:paraId="36AF6883" w14:textId="77777777" w:rsidR="0078185C" w:rsidRDefault="0078185C">
      <w:pPr>
        <w:jc w:val="both"/>
        <w:rPr>
          <w:lang w:val="en-AU"/>
        </w:rPr>
      </w:pPr>
    </w:p>
    <w:p w14:paraId="7C61CC80" w14:textId="77777777" w:rsidR="0078185C" w:rsidRDefault="00000000">
      <w:pPr>
        <w:jc w:val="both"/>
        <w:rPr>
          <w:lang w:val="en-AU"/>
        </w:rPr>
      </w:pPr>
      <w:r>
        <w:rPr>
          <w:noProof/>
          <w:lang w:val="en-AU"/>
        </w:rPr>
        <mc:AlternateContent>
          <mc:Choice Requires="wps">
            <w:drawing>
              <wp:anchor distT="0" distB="0" distL="0" distR="0" simplePos="0" relativeHeight="15" behindDoc="0" locked="0" layoutInCell="1" allowOverlap="1" wp14:anchorId="3D2D83F4" wp14:editId="07777777">
                <wp:simplePos x="0" y="0"/>
                <wp:positionH relativeFrom="column">
                  <wp:posOffset>1434465</wp:posOffset>
                </wp:positionH>
                <wp:positionV relativeFrom="paragraph">
                  <wp:posOffset>52705</wp:posOffset>
                </wp:positionV>
                <wp:extent cx="1096645" cy="394335"/>
                <wp:effectExtent l="25400" t="190500" r="0" b="229870"/>
                <wp:wrapNone/>
                <wp:docPr id="27" name="Right Arrow 37"/>
                <wp:cNvGraphicFramePr/>
                <a:graphic xmlns:a="http://schemas.openxmlformats.org/drawingml/2006/main">
                  <a:graphicData uri="http://schemas.microsoft.com/office/word/2010/wordprocessingShape">
                    <wps:wsp>
                      <wps:cNvSpPr/>
                      <wps:spPr>
                        <a:xfrm rot="1786200">
                          <a:off x="0" y="0"/>
                          <a:ext cx="1095840" cy="393840"/>
                        </a:xfrm>
                        <a:prstGeom prst="rightArrow">
                          <a:avLst>
                            <a:gd name="adj1" fmla="val 50000"/>
                            <a:gd name="adj2" fmla="val 50000"/>
                          </a:avLst>
                        </a:prstGeom>
                        <a:ln>
                          <a:solidFill>
                            <a:srgbClr val="4A7EBB"/>
                          </a:solidFill>
                          <a:round/>
                        </a:ln>
                        <a:effectLst>
                          <a:outerShdw blurRad="40000" dist="23040" dir="5400000" rotWithShape="0">
                            <a:srgbClr val="000000">
                              <a:alpha val="35000"/>
                            </a:srgbClr>
                          </a:outerShdw>
                        </a:effectLst>
                      </wps:spPr>
                      <wps:style>
                        <a:lnRef idx="1">
                          <a:schemeClr val="accent1"/>
                        </a:lnRef>
                        <a:fillRef idx="3">
                          <a:schemeClr val="accent1"/>
                        </a:fillRef>
                        <a:effectRef idx="2">
                          <a:schemeClr val="accent1"/>
                        </a:effectRef>
                        <a:fontRef idx="minor"/>
                      </wps:style>
                      <wps:bodyPr/>
                    </wps:wsp>
                  </a:graphicData>
                </a:graphic>
              </wp:anchor>
            </w:drawing>
          </mc:Choice>
          <mc:Fallback xmlns:wp14="http://schemas.microsoft.com/office/word/2010/wordml" xmlns:pic="http://schemas.openxmlformats.org/drawingml/2006/picture" xmlns:a="http://schemas.openxmlformats.org/drawingml/2006/main">
            <w:pict w14:anchorId="777BF599">
              <v:shapetype id="shapetype_13" coordsize="21600,21600" o:spt="13" adj="10800,10800" path="m0@5l@3@5l@3,l21600,10800l@3,21600l@3@6l0@6xe">
                <v:stroke joinstyle="miter"/>
                <v:formulas>
                  <v:f eqn="val 21600"/>
                  <v:f eqn="val #1"/>
                  <v:f eqn="val #0"/>
                  <v:f eqn="sum width 0 @2"/>
                  <v:f eqn="prod 1 @1 2"/>
                  <v:f eqn="sum 10800 0 @4"/>
                  <v:f eqn="sum 10800 @4 0"/>
                  <v:f eqn="prod @5 @2 10800"/>
                  <v:f eqn="sum @3 @7 0"/>
                </v:formulas>
                <v:path textboxrect="0,@5,@8,@6" gradientshapeok="t" o:connecttype="rect"/>
                <v:handles>
                  <v:h position="0,@5"/>
                  <v:h position="@3,0"/>
                </v:handles>
              </v:shapetype>
              <v:shape xmlns:wp14="http://schemas.microsoft.com/office/word/2010/wordprocessingDrawing" id="shape_0" style="position:absolute;margin-left:112.95pt;margin-top:4.15pt;width:86.25pt;height:30.95pt;rotation:30" fillcolor="#3e7fcc" stroked="t" type="shapetype_13" ID="Right Arrow 37" wp14:anchorId="3D2D83F4">
                <w10:wrap type="none"/>
                <v:fill color2="#a4c1ff" o:detectmouseclick="t"/>
                <v:stroke weight="9360" color="#4a7ebb" joinstyle="round" endcap="flat"/>
                <v:shadow on="t" obscured="f" color="black"/>
              </v:shape>
            </w:pict>
          </mc:Fallback>
        </mc:AlternateContent>
      </w:r>
    </w:p>
    <w:p w14:paraId="54C529ED" w14:textId="77777777" w:rsidR="0078185C" w:rsidRDefault="0078185C">
      <w:pPr>
        <w:jc w:val="both"/>
        <w:rPr>
          <w:lang w:val="en-AU"/>
        </w:rPr>
      </w:pPr>
    </w:p>
    <w:p w14:paraId="1C0157D6" w14:textId="77777777" w:rsidR="0078185C" w:rsidRDefault="0078185C">
      <w:pPr>
        <w:jc w:val="both"/>
        <w:rPr>
          <w:i/>
          <w:iCs/>
          <w:sz w:val="23"/>
          <w:szCs w:val="23"/>
        </w:rPr>
      </w:pPr>
    </w:p>
    <w:p w14:paraId="67B07FAA" w14:textId="77777777" w:rsidR="0078185C" w:rsidRDefault="00000000">
      <w:pPr>
        <w:jc w:val="both"/>
        <w:rPr>
          <w:i/>
          <w:iCs/>
          <w:sz w:val="23"/>
          <w:szCs w:val="23"/>
        </w:rPr>
      </w:pPr>
      <w:r>
        <w:rPr>
          <w:i/>
          <w:iCs/>
          <w:noProof/>
          <w:sz w:val="23"/>
          <w:szCs w:val="23"/>
        </w:rPr>
        <mc:AlternateContent>
          <mc:Choice Requires="wps">
            <w:drawing>
              <wp:anchor distT="0" distB="0" distL="0" distR="0" simplePos="0" relativeHeight="14" behindDoc="0" locked="0" layoutInCell="1" allowOverlap="1" wp14:anchorId="08BD0156" wp14:editId="07777777">
                <wp:simplePos x="0" y="0"/>
                <wp:positionH relativeFrom="column">
                  <wp:posOffset>1487170</wp:posOffset>
                </wp:positionH>
                <wp:positionV relativeFrom="paragraph">
                  <wp:posOffset>133350</wp:posOffset>
                </wp:positionV>
                <wp:extent cx="3260090" cy="339725"/>
                <wp:effectExtent l="25400" t="25400" r="208280" b="207645"/>
                <wp:wrapNone/>
                <wp:docPr id="28" name="Text Box 395"/>
                <wp:cNvGraphicFramePr/>
                <a:graphic xmlns:a="http://schemas.openxmlformats.org/drawingml/2006/main">
                  <a:graphicData uri="http://schemas.microsoft.com/office/word/2010/wordprocessingShape">
                    <wps:wsp>
                      <wps:cNvSpPr/>
                      <wps:spPr>
                        <a:xfrm>
                          <a:off x="0" y="0"/>
                          <a:ext cx="3259440" cy="339120"/>
                        </a:xfrm>
                        <a:prstGeom prst="rect">
                          <a:avLst/>
                        </a:prstGeom>
                        <a:solidFill>
                          <a:srgbClr val="0000CC"/>
                        </a:solidFill>
                        <a:ln w="9360">
                          <a:noFill/>
                        </a:ln>
                        <a:effectLst>
                          <a:outerShdw blurRad="127000" dist="126770" dir="2700000" algn="tl" rotWithShape="0">
                            <a:srgbClr val="000000">
                              <a:alpha val="40000"/>
                            </a:srgbClr>
                          </a:outerShdw>
                        </a:effectLst>
                      </wps:spPr>
                      <wps:style>
                        <a:lnRef idx="0">
                          <a:scrgbClr r="0" g="0" b="0"/>
                        </a:lnRef>
                        <a:fillRef idx="0">
                          <a:scrgbClr r="0" g="0" b="0"/>
                        </a:fillRef>
                        <a:effectRef idx="0">
                          <a:scrgbClr r="0" g="0" b="0"/>
                        </a:effectRef>
                        <a:fontRef idx="minor"/>
                      </wps:style>
                      <wps:txbx>
                        <w:txbxContent>
                          <w:p w14:paraId="17B2B108" w14:textId="55B8ABBF" w:rsidR="0078185C" w:rsidRDefault="00000000">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 xml:space="preserve">Combination of </w:t>
                            </w:r>
                            <w:r w:rsidR="00EA239A">
                              <w:rPr>
                                <w:rFonts w:ascii="Calibri" w:hAnsi="Calibri" w:cstheme="minorBidi"/>
                                <w:b/>
                                <w:bCs/>
                                <w:color w:val="FFFFFF" w:themeColor="background1"/>
                                <w:kern w:val="2"/>
                              </w:rPr>
                              <w:t>VNP</w:t>
                            </w:r>
                            <w:r>
                              <w:rPr>
                                <w:rFonts w:ascii="Calibri" w:hAnsi="Calibri" w:cstheme="minorBidi"/>
                                <w:b/>
                                <w:bCs/>
                                <w:color w:val="FFFFFF" w:themeColor="background1"/>
                                <w:kern w:val="2"/>
                              </w:rPr>
                              <w:t xml:space="preserve">15A2H and </w:t>
                            </w:r>
                            <w:r w:rsidR="00EA239A">
                              <w:rPr>
                                <w:rFonts w:ascii="Calibri" w:hAnsi="Calibri" w:cstheme="minorBidi"/>
                                <w:b/>
                                <w:bCs/>
                                <w:color w:val="FFFFFF" w:themeColor="background1"/>
                                <w:kern w:val="2"/>
                              </w:rPr>
                              <w:t>MCD</w:t>
                            </w:r>
                            <w:r>
                              <w:rPr>
                                <w:rFonts w:ascii="Calibri" w:hAnsi="Calibri" w:cstheme="minorBidi"/>
                                <w:b/>
                                <w:bCs/>
                                <w:color w:val="FFFFFF" w:themeColor="background1"/>
                                <w:kern w:val="2"/>
                              </w:rPr>
                              <w:t>15A2HCL</w:t>
                            </w:r>
                          </w:p>
                        </w:txbxContent>
                      </wps:txbx>
                      <wps:bodyPr anchor="ctr">
                        <a:noAutofit/>
                      </wps:bodyPr>
                    </wps:wsp>
                  </a:graphicData>
                </a:graphic>
              </wp:anchor>
            </w:drawing>
          </mc:Choice>
          <mc:Fallback>
            <w:pict>
              <v:rect w14:anchorId="08BD0156" id="_x0000_s1030" style="position:absolute;left:0;text-align:left;margin-left:117.1pt;margin-top:10.5pt;width:256.7pt;height:26.75pt;z-index:1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" fillcolor="#00c" stroked="f" strokeweight=".26mm">
                <v:shadow on="t" color="black" opacity="26214f" origin="-.5,-.5" offset="2.49mm,2.49mm"/>
                <v:textbox>
                  <w:txbxContent>
                    <w:p w14:paraId="17B2B108" w14:textId="55B8ABBF" w:rsidR="0078185C" w:rsidRDefault="00000000">
                      <w:pPr>
                        <w:pStyle w:val="FrameContents"/>
                        <w:jc w:val="center"/>
                        <w:rPr>
                          <w:rFonts w:ascii="Calibri" w:hAnsi="Calibri" w:cstheme="minorBidi"/>
                          <w:b/>
                          <w:bCs/>
                          <w:color w:val="FFFFFF" w:themeColor="background1"/>
                          <w:kern w:val="2"/>
                        </w:rPr>
                      </w:pPr>
                      <w:r>
                        <w:rPr>
                          <w:rFonts w:ascii="Calibri" w:hAnsi="Calibri" w:cstheme="minorBidi"/>
                          <w:b/>
                          <w:bCs/>
                          <w:color w:val="FFFFFF" w:themeColor="background1"/>
                          <w:kern w:val="2"/>
                        </w:rPr>
                        <w:t xml:space="preserve">Combination of </w:t>
                      </w:r>
                      <w:r w:rsidR="00EA239A">
                        <w:rPr>
                          <w:rFonts w:ascii="Calibri" w:hAnsi="Calibri" w:cstheme="minorBidi"/>
                          <w:b/>
                          <w:bCs/>
                          <w:color w:val="FFFFFF" w:themeColor="background1"/>
                          <w:kern w:val="2"/>
                        </w:rPr>
                        <w:t>VNP</w:t>
                      </w:r>
                      <w:r>
                        <w:rPr>
                          <w:rFonts w:ascii="Calibri" w:hAnsi="Calibri" w:cstheme="minorBidi"/>
                          <w:b/>
                          <w:bCs/>
                          <w:color w:val="FFFFFF" w:themeColor="background1"/>
                          <w:kern w:val="2"/>
                        </w:rPr>
                        <w:t xml:space="preserve">15A2H and </w:t>
                      </w:r>
                      <w:r w:rsidR="00EA239A">
                        <w:rPr>
                          <w:rFonts w:ascii="Calibri" w:hAnsi="Calibri" w:cstheme="minorBidi"/>
                          <w:b/>
                          <w:bCs/>
                          <w:color w:val="FFFFFF" w:themeColor="background1"/>
                          <w:kern w:val="2"/>
                        </w:rPr>
                        <w:t>MCD</w:t>
                      </w:r>
                      <w:r>
                        <w:rPr>
                          <w:rFonts w:ascii="Calibri" w:hAnsi="Calibri" w:cstheme="minorBidi"/>
                          <w:b/>
                          <w:bCs/>
                          <w:color w:val="FFFFFF" w:themeColor="background1"/>
                          <w:kern w:val="2"/>
                        </w:rPr>
                        <w:t>15A2HCL</w:t>
                      </w:r>
                    </w:p>
                  </w:txbxContent>
                </v:textbox>
              </v:rect>
            </w:pict>
          </mc:Fallback>
        </mc:AlternateContent>
      </w:r>
    </w:p>
    <w:p w14:paraId="3691E7B2" w14:textId="77777777" w:rsidR="0078185C" w:rsidRDefault="0078185C">
      <w:pPr>
        <w:jc w:val="both"/>
        <w:rPr>
          <w:i/>
          <w:iCs/>
          <w:sz w:val="23"/>
          <w:szCs w:val="23"/>
        </w:rPr>
      </w:pPr>
    </w:p>
    <w:p w14:paraId="526770CE" w14:textId="77777777" w:rsidR="0078185C" w:rsidRDefault="0078185C">
      <w:pPr>
        <w:jc w:val="both"/>
        <w:rPr>
          <w:i/>
          <w:iCs/>
          <w:sz w:val="23"/>
          <w:szCs w:val="23"/>
        </w:rPr>
      </w:pPr>
    </w:p>
    <w:p w14:paraId="6BF6758F" w14:textId="77777777" w:rsidR="0078185C" w:rsidRDefault="00000000">
      <w:pPr>
        <w:jc w:val="both"/>
        <w:rPr>
          <w:i/>
          <w:iCs/>
          <w:sz w:val="23"/>
          <w:szCs w:val="23"/>
        </w:rPr>
      </w:pPr>
      <w:r>
        <w:rPr>
          <w:i/>
          <w:iCs/>
          <w:noProof/>
          <w:sz w:val="23"/>
          <w:szCs w:val="23"/>
        </w:rPr>
        <w:drawing>
          <wp:anchor distT="0" distB="0" distL="0" distR="0" simplePos="0" relativeHeight="20" behindDoc="0" locked="0" layoutInCell="1" allowOverlap="1" wp14:anchorId="358D4250" wp14:editId="07777777">
            <wp:simplePos x="0" y="0"/>
            <wp:positionH relativeFrom="column">
              <wp:posOffset>1405890</wp:posOffset>
            </wp:positionH>
            <wp:positionV relativeFrom="paragraph">
              <wp:posOffset>85090</wp:posOffset>
            </wp:positionV>
            <wp:extent cx="3383915" cy="1500505"/>
            <wp:effectExtent l="0" t="0" r="0" b="0"/>
            <wp:wrapNone/>
            <wp:docPr id="30"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688"/>
                    <pic:cNvPicPr>
                      <a:picLocks noChangeAspect="1" noChangeArrowheads="1"/>
                    </pic:cNvPicPr>
                  </pic:nvPicPr>
                  <pic:blipFill>
                    <a:blip r:embed="rId23"/>
                    <a:stretch>
                      <a:fillRect/>
                    </a:stretch>
                  </pic:blipFill>
                  <pic:spPr bwMode="auto">
                    <a:xfrm>
                      <a:off x="0" y="0"/>
                      <a:ext cx="3383915" cy="1500505"/>
                    </a:xfrm>
                    <a:prstGeom prst="rect">
                      <a:avLst/>
                    </a:prstGeom>
                  </pic:spPr>
                </pic:pic>
              </a:graphicData>
            </a:graphic>
          </wp:anchor>
        </w:drawing>
      </w:r>
    </w:p>
    <w:p w14:paraId="7CBEED82" w14:textId="77777777" w:rsidR="0078185C" w:rsidRDefault="0078185C">
      <w:pPr>
        <w:jc w:val="both"/>
        <w:rPr>
          <w:i/>
          <w:iCs/>
          <w:sz w:val="23"/>
          <w:szCs w:val="23"/>
        </w:rPr>
      </w:pPr>
    </w:p>
    <w:p w14:paraId="6E36661F" w14:textId="77777777" w:rsidR="0078185C" w:rsidRDefault="0078185C">
      <w:pPr>
        <w:jc w:val="both"/>
        <w:rPr>
          <w:i/>
          <w:iCs/>
          <w:sz w:val="23"/>
          <w:szCs w:val="23"/>
        </w:rPr>
      </w:pPr>
    </w:p>
    <w:p w14:paraId="38645DC7" w14:textId="77777777" w:rsidR="0078185C" w:rsidRDefault="0078185C">
      <w:pPr>
        <w:jc w:val="both"/>
        <w:rPr>
          <w:i/>
          <w:iCs/>
          <w:sz w:val="23"/>
          <w:szCs w:val="23"/>
        </w:rPr>
      </w:pPr>
    </w:p>
    <w:p w14:paraId="135E58C4" w14:textId="77777777" w:rsidR="0078185C" w:rsidRDefault="0078185C">
      <w:pPr>
        <w:jc w:val="both"/>
        <w:rPr>
          <w:i/>
          <w:iCs/>
          <w:sz w:val="23"/>
          <w:szCs w:val="23"/>
        </w:rPr>
      </w:pPr>
    </w:p>
    <w:p w14:paraId="62EBF9A1" w14:textId="77777777" w:rsidR="0078185C" w:rsidRDefault="0078185C">
      <w:pPr>
        <w:jc w:val="both"/>
        <w:rPr>
          <w:i/>
          <w:iCs/>
          <w:sz w:val="23"/>
          <w:szCs w:val="23"/>
        </w:rPr>
      </w:pPr>
    </w:p>
    <w:p w14:paraId="0C6C2CD5" w14:textId="77777777" w:rsidR="0078185C" w:rsidRDefault="0078185C">
      <w:pPr>
        <w:jc w:val="both"/>
        <w:rPr>
          <w:i/>
          <w:iCs/>
          <w:sz w:val="23"/>
          <w:szCs w:val="23"/>
        </w:rPr>
      </w:pPr>
    </w:p>
    <w:p w14:paraId="709E88E4" w14:textId="77777777" w:rsidR="0078185C" w:rsidRDefault="0078185C">
      <w:pPr>
        <w:jc w:val="both"/>
        <w:rPr>
          <w:i/>
          <w:iCs/>
          <w:sz w:val="23"/>
          <w:szCs w:val="23"/>
        </w:rPr>
      </w:pPr>
    </w:p>
    <w:p w14:paraId="508C98E9" w14:textId="77777777" w:rsidR="0078185C" w:rsidRDefault="0078185C">
      <w:pPr>
        <w:jc w:val="both"/>
        <w:rPr>
          <w:i/>
          <w:iCs/>
          <w:sz w:val="23"/>
          <w:szCs w:val="23"/>
        </w:rPr>
      </w:pPr>
    </w:p>
    <w:p w14:paraId="779F8E76" w14:textId="77777777" w:rsidR="0078185C" w:rsidRDefault="0078185C">
      <w:pPr>
        <w:jc w:val="both"/>
        <w:rPr>
          <w:i/>
          <w:iCs/>
          <w:sz w:val="23"/>
          <w:szCs w:val="23"/>
        </w:rPr>
      </w:pPr>
    </w:p>
    <w:p w14:paraId="52B17D27" w14:textId="6177956F" w:rsidR="0078185C" w:rsidRDefault="29B8089E" w:rsidP="29B8089E">
      <w:pPr>
        <w:jc w:val="both"/>
        <w:rPr>
          <w:i/>
          <w:iCs/>
          <w:sz w:val="23"/>
          <w:szCs w:val="23"/>
        </w:rPr>
      </w:pPr>
      <w:r w:rsidRPr="29B8089E">
        <w:rPr>
          <w:b/>
          <w:bCs/>
          <w:i/>
          <w:iCs/>
          <w:sz w:val="23"/>
          <w:szCs w:val="23"/>
        </w:rPr>
        <w:t>Figure 2.2</w:t>
      </w:r>
      <w:r w:rsidRPr="29B8089E">
        <w:rPr>
          <w:i/>
          <w:iCs/>
          <w:sz w:val="23"/>
          <w:szCs w:val="23"/>
        </w:rPr>
        <w:t xml:space="preserve">. The diagram shows how FPAR from VNP15A2H and 5-year climatology MCD15A2HCL are combined to fill the gaps of contaminated FPAR in VNP15A2H using backup FPAR from MCD15A2HCL to enhance the forward VNP17 for two tiles H11V08 (Amazon) and H25V04 (Mongolia).  Compared to the original FPAR from </w:t>
      </w:r>
      <w:r w:rsidR="0081795D">
        <w:rPr>
          <w:i/>
          <w:iCs/>
          <w:sz w:val="23"/>
          <w:szCs w:val="23"/>
        </w:rPr>
        <w:t>VNP</w:t>
      </w:r>
      <w:r w:rsidRPr="29B8089E">
        <w:rPr>
          <w:i/>
          <w:iCs/>
          <w:sz w:val="23"/>
          <w:szCs w:val="23"/>
        </w:rPr>
        <w:t>15A2H, the combined FPAR is enhanced more for H11V08 in cloudy Amazon (78.21% replacement) than H25V04 (40.88% replacement) in</w:t>
      </w:r>
      <w:r w:rsidR="007F0466">
        <w:rPr>
          <w:i/>
          <w:iCs/>
          <w:sz w:val="23"/>
          <w:szCs w:val="23"/>
        </w:rPr>
        <w:t xml:space="preserve"> relatively</w:t>
      </w:r>
      <w:r w:rsidRPr="29B8089E">
        <w:rPr>
          <w:i/>
          <w:iCs/>
          <w:sz w:val="23"/>
          <w:szCs w:val="23"/>
        </w:rPr>
        <w:t xml:space="preserve"> clear Mongolia.</w:t>
      </w:r>
    </w:p>
    <w:p w14:paraId="3EB6361A" w14:textId="77777777" w:rsidR="00EA239A" w:rsidRDefault="00EA239A" w:rsidP="29B8089E">
      <w:pPr>
        <w:jc w:val="both"/>
        <w:rPr>
          <w:i/>
          <w:iCs/>
          <w:sz w:val="23"/>
          <w:szCs w:val="23"/>
        </w:rPr>
      </w:pPr>
    </w:p>
    <w:p w14:paraId="777E81D2" w14:textId="05CC1E82" w:rsidR="00EA239A" w:rsidRPr="00EA239A" w:rsidRDefault="00EA239A" w:rsidP="00EA239A">
      <w:pPr>
        <w:ind w:firstLine="720"/>
        <w:jc w:val="both"/>
        <w:rPr>
          <w:lang w:val="en-AU"/>
        </w:rPr>
      </w:pPr>
      <w:r>
        <w:t xml:space="preserve">Starting from C6.1 MOD17, we have introduced an FPAR/LAI climatology and named it as MCD15A2HCL. The data from MCD15A2HCL are used as backup input to replace low quality (QC) FPAR/LAI values in each pixel in MOD15A2H or MYD15A2H for the corresponding 8-day periods. </w:t>
      </w:r>
      <w:r w:rsidRPr="29B8089E">
        <w:rPr>
          <w:lang w:val="en-AU"/>
        </w:rPr>
        <w:t xml:space="preserve">MCD15A2HCL is the average of the best FPAR/LAI for a given vegetated pixel for the </w:t>
      </w:r>
      <w:r w:rsidRPr="29B8089E">
        <w:rPr>
          <w:lang w:val="en-AU"/>
        </w:rPr>
        <w:lastRenderedPageBreak/>
        <w:t xml:space="preserve">8-day across the past 5 years, based on the data quality flags from both MOD15A2H and MYD15A2H. If there is no reliable FPAR/LAI data available for an 8-day period across all 5 years, temporal filling is conducted to fill the gaps in climatology FPAR/LAI by following the gap-filling method proposed by Zhao et al. (2005). We chose a 5-year span because the time span for global climate fluctuations, such as </w:t>
      </w:r>
      <w:r>
        <w:t xml:space="preserve">the El Niño-Southern Oscillation (ENSO), is about 5 years, and because ENSO has great impacts on vegetation growth and other biosphere activities (Keeling et al., 1995; </w:t>
      </w:r>
      <w:proofErr w:type="spellStart"/>
      <w:r>
        <w:t>Nemani</w:t>
      </w:r>
      <w:proofErr w:type="spellEnd"/>
      <w:r>
        <w:t xml:space="preserve"> et al., 2003; Du et al., 2021). A longer time span beyond 5-year may result in unrealistic FPAR/LAI climatology because averaging obscures vegetation greenness changes by ecosystem disturbances/recoveries or land use/cover change (</w:t>
      </w:r>
      <w:proofErr w:type="spellStart"/>
      <w:r>
        <w:t>Mildrexler</w:t>
      </w:r>
      <w:proofErr w:type="spellEnd"/>
      <w:r>
        <w:t xml:space="preserve"> et al., 2007; </w:t>
      </w:r>
      <w:proofErr w:type="spellStart"/>
      <w:r>
        <w:t>Mildrexler</w:t>
      </w:r>
      <w:proofErr w:type="spellEnd"/>
      <w:r>
        <w:t xml:space="preserve"> et al., 2009; Song et al. 2018). </w:t>
      </w:r>
      <w:r w:rsidRPr="29B8089E">
        <w:rPr>
          <w:lang w:val="en-AU"/>
        </w:rPr>
        <w:t xml:space="preserve">For C2 </w:t>
      </w:r>
      <w:r>
        <w:t>VNP17 and VJ117 forward data products, we still use the MODIS</w:t>
      </w:r>
      <w:r w:rsidRPr="29B8089E">
        <w:rPr>
          <w:lang w:val="en-AU"/>
        </w:rPr>
        <w:t xml:space="preserve"> MCD15A2HCL as a backup FPAR/LAI source. We plan to use VIIRS climatology FPAR/LAI for VIIRS GPP/NPP data products in the future. </w:t>
      </w:r>
    </w:p>
    <w:p w14:paraId="1C365517" w14:textId="69FF9B05" w:rsidR="0078185C" w:rsidRPr="006C0E82" w:rsidRDefault="006C0E82" w:rsidP="006C0E82">
      <w:pPr>
        <w:spacing w:beforeAutospacing="1" w:afterAutospacing="1"/>
        <w:ind w:firstLine="720"/>
        <w:jc w:val="both"/>
        <w:rPr>
          <w:lang w:val="en-AU"/>
        </w:rPr>
      </w:pPr>
      <w:r>
        <w:rPr>
          <w:b/>
          <w:i/>
          <w:noProof/>
        </w:rPr>
        <w:drawing>
          <wp:anchor distT="0" distB="0" distL="0" distR="0" simplePos="0" relativeHeight="22" behindDoc="0" locked="0" layoutInCell="1" allowOverlap="1" wp14:anchorId="26E9045D" wp14:editId="4450F790">
            <wp:simplePos x="0" y="0"/>
            <wp:positionH relativeFrom="column">
              <wp:posOffset>14605</wp:posOffset>
            </wp:positionH>
            <wp:positionV relativeFrom="paragraph">
              <wp:posOffset>2923540</wp:posOffset>
            </wp:positionV>
            <wp:extent cx="2944495" cy="1417320"/>
            <wp:effectExtent l="0" t="0" r="1905" b="5080"/>
            <wp:wrapNone/>
            <wp:docPr id="31" name="Picture 28"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8" descr="Graphical user interface, application, map&#10;&#10;Description automatically generated"/>
                    <pic:cNvPicPr>
                      <a:picLocks noChangeAspect="1" noChangeArrowheads="1"/>
                    </pic:cNvPicPr>
                  </pic:nvPicPr>
                  <pic:blipFill>
                    <a:blip r:embed="rId24"/>
                    <a:stretch>
                      <a:fillRect/>
                    </a:stretch>
                  </pic:blipFill>
                  <pic:spPr bwMode="auto">
                    <a:xfrm>
                      <a:off x="0" y="0"/>
                      <a:ext cx="2944495" cy="1417320"/>
                    </a:xfrm>
                    <a:prstGeom prst="rect">
                      <a:avLst/>
                    </a:prstGeom>
                  </pic:spPr>
                </pic:pic>
              </a:graphicData>
            </a:graphic>
          </wp:anchor>
        </w:drawing>
      </w:r>
      <w:r>
        <w:rPr>
          <w:b/>
          <w:i/>
          <w:noProof/>
        </w:rPr>
        <w:drawing>
          <wp:anchor distT="0" distB="0" distL="0" distR="0" simplePos="0" relativeHeight="23" behindDoc="0" locked="0" layoutInCell="1" allowOverlap="1" wp14:anchorId="7C5FEDF4" wp14:editId="6C2436A3">
            <wp:simplePos x="0" y="0"/>
            <wp:positionH relativeFrom="column">
              <wp:posOffset>3004820</wp:posOffset>
            </wp:positionH>
            <wp:positionV relativeFrom="paragraph">
              <wp:posOffset>2917776</wp:posOffset>
            </wp:positionV>
            <wp:extent cx="2943860" cy="1417320"/>
            <wp:effectExtent l="0" t="0" r="2540" b="5080"/>
            <wp:wrapNone/>
            <wp:docPr id="32" name="Picture 29"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 descr="Graphical user interface, application, map&#10;&#10;Description automatically generated"/>
                    <pic:cNvPicPr>
                      <a:picLocks noChangeAspect="1" noChangeArrowheads="1"/>
                    </pic:cNvPicPr>
                  </pic:nvPicPr>
                  <pic:blipFill>
                    <a:blip r:embed="rId25"/>
                    <a:stretch>
                      <a:fillRect/>
                    </a:stretch>
                  </pic:blipFill>
                  <pic:spPr bwMode="auto">
                    <a:xfrm>
                      <a:off x="0" y="0"/>
                      <a:ext cx="2943860" cy="1417320"/>
                    </a:xfrm>
                    <a:prstGeom prst="rect">
                      <a:avLst/>
                    </a:prstGeom>
                  </pic:spPr>
                </pic:pic>
              </a:graphicData>
            </a:graphic>
          </wp:anchor>
        </w:drawing>
      </w:r>
      <w:r>
        <w:rPr>
          <w:lang w:eastAsia="zh-CN"/>
        </w:rPr>
        <w:t xml:space="preserve">Figure 2.2 using FPAR as example shows how the VNP17A2 process combines 8-day VNP15A2H with the corresponding 8-day climatology MCD15A2HCL to fill the gaps of contaminated FPAR/LAI for GPP and </w:t>
      </w:r>
      <w:proofErr w:type="spellStart"/>
      <w:r>
        <w:rPr>
          <w:lang w:eastAsia="zh-CN"/>
        </w:rPr>
        <w:t>PSN</w:t>
      </w:r>
      <w:r>
        <w:rPr>
          <w:vertAlign w:val="subscript"/>
          <w:lang w:eastAsia="zh-CN"/>
        </w:rPr>
        <w:t>net</w:t>
      </w:r>
      <w:proofErr w:type="spellEnd"/>
      <w:r>
        <w:rPr>
          <w:lang w:eastAsia="zh-CN"/>
        </w:rPr>
        <w:t xml:space="preserve"> calculations. For a given vegetated pixel, if FPAR/LAI from VNP15A2H are contaminated, the corresponding climatology FPAR/LAI will be used to replace the contaminated values for calculations, resulting in enhanced estimated GPP and </w:t>
      </w:r>
      <w:proofErr w:type="spellStart"/>
      <w:r>
        <w:rPr>
          <w:lang w:eastAsia="zh-CN"/>
        </w:rPr>
        <w:t>PSN</w:t>
      </w:r>
      <w:r>
        <w:rPr>
          <w:vertAlign w:val="subscript"/>
          <w:lang w:eastAsia="zh-CN"/>
        </w:rPr>
        <w:t>net</w:t>
      </w:r>
      <w:proofErr w:type="spellEnd"/>
      <w:r>
        <w:rPr>
          <w:lang w:eastAsia="zh-CN"/>
        </w:rPr>
        <w:t xml:space="preserve">. We use two tiles: H11V08 (in Amazon) and H25V04 (in Mongolia) to show this process to help users understand that this is also regional or even seasonal dependent.  Figure 2.2 shows that the combination of </w:t>
      </w:r>
      <w:r w:rsidR="00930E36">
        <w:rPr>
          <w:lang w:eastAsia="zh-CN"/>
        </w:rPr>
        <w:t>VNP15A2H</w:t>
      </w:r>
      <w:r>
        <w:rPr>
          <w:lang w:eastAsia="zh-CN"/>
        </w:rPr>
        <w:t xml:space="preserve"> and MCD15A2HCL generally results in higher FPAR values for H11V08, but</w:t>
      </w:r>
      <w:r w:rsidR="00CB09C8">
        <w:rPr>
          <w:lang w:eastAsia="zh-CN"/>
        </w:rPr>
        <w:t xml:space="preserve"> </w:t>
      </w:r>
      <w:r>
        <w:rPr>
          <w:lang w:eastAsia="zh-CN"/>
        </w:rPr>
        <w:t xml:space="preserve">only a little higher FPAR for H25V04.  This is because Amazon region has high frequency of cloudiness whereas Mongolia in dry climate is clear most of the time. For the Amazonia tile in 8-day 81 in 2018, 78.21% number of vegetated pixels had low data quality and were replaced by the climatology values. In contrast, only 40.88% vegetated pixels in Mongolia tile are replaced in an early summer 8-day 177 in 2018 due to their low quality for their 8-day periods. At current stage, VNP17 uses 5-year climatology data from </w:t>
      </w:r>
      <w:proofErr w:type="gramStart"/>
      <w:r>
        <w:rPr>
          <w:lang w:eastAsia="zh-CN"/>
        </w:rPr>
        <w:t>MCD15A2HCL</w:t>
      </w:r>
      <w:proofErr w:type="gramEnd"/>
      <w:r>
        <w:rPr>
          <w:lang w:eastAsia="zh-CN"/>
        </w:rPr>
        <w:t xml:space="preserve"> and we will use FPAR/LAI climatology data from VIIRS in the future.</w:t>
      </w:r>
      <w:r>
        <w:rPr>
          <w:lang w:val="en-AU"/>
        </w:rPr>
        <w:t xml:space="preserve"> </w:t>
      </w:r>
    </w:p>
    <w:p w14:paraId="6C0FDF13" w14:textId="317DE1A8" w:rsidR="0078185C" w:rsidRDefault="0078185C">
      <w:pPr>
        <w:ind w:firstLine="720"/>
        <w:jc w:val="both"/>
        <w:rPr>
          <w:b/>
          <w:i/>
        </w:rPr>
      </w:pPr>
    </w:p>
    <w:p w14:paraId="7818863E" w14:textId="77777777" w:rsidR="0078185C" w:rsidRDefault="0078185C">
      <w:pPr>
        <w:ind w:firstLine="720"/>
        <w:jc w:val="both"/>
        <w:rPr>
          <w:b/>
          <w:i/>
        </w:rPr>
      </w:pPr>
    </w:p>
    <w:p w14:paraId="44F69B9A" w14:textId="77777777" w:rsidR="0078185C" w:rsidRDefault="0078185C">
      <w:pPr>
        <w:ind w:firstLine="720"/>
        <w:jc w:val="both"/>
        <w:rPr>
          <w:b/>
          <w:i/>
        </w:rPr>
      </w:pPr>
    </w:p>
    <w:p w14:paraId="5F07D11E" w14:textId="77777777" w:rsidR="0078185C" w:rsidRDefault="0078185C">
      <w:pPr>
        <w:ind w:firstLine="720"/>
        <w:jc w:val="both"/>
        <w:rPr>
          <w:b/>
          <w:i/>
        </w:rPr>
      </w:pPr>
    </w:p>
    <w:p w14:paraId="41508A3C" w14:textId="77777777" w:rsidR="0078185C" w:rsidRDefault="0078185C">
      <w:pPr>
        <w:ind w:firstLine="720"/>
        <w:jc w:val="both"/>
        <w:rPr>
          <w:b/>
          <w:i/>
        </w:rPr>
      </w:pPr>
    </w:p>
    <w:p w14:paraId="43D6B1D6" w14:textId="77777777" w:rsidR="0078185C" w:rsidRDefault="0078185C">
      <w:pPr>
        <w:ind w:firstLine="720"/>
        <w:jc w:val="both"/>
        <w:rPr>
          <w:b/>
          <w:i/>
        </w:rPr>
      </w:pPr>
    </w:p>
    <w:p w14:paraId="17DBC151" w14:textId="77777777" w:rsidR="0078185C" w:rsidRDefault="0078185C">
      <w:pPr>
        <w:ind w:firstLine="720"/>
        <w:jc w:val="both"/>
        <w:rPr>
          <w:b/>
          <w:i/>
        </w:rPr>
      </w:pPr>
    </w:p>
    <w:p w14:paraId="353F28CF" w14:textId="77777777" w:rsidR="006C0E82" w:rsidRDefault="006C0E82">
      <w:pPr>
        <w:jc w:val="both"/>
        <w:rPr>
          <w:b/>
          <w:bCs/>
          <w:i/>
          <w:iCs/>
          <w:sz w:val="23"/>
          <w:szCs w:val="23"/>
        </w:rPr>
      </w:pPr>
    </w:p>
    <w:p w14:paraId="4E5EDFEF" w14:textId="70778BE8" w:rsidR="0078185C" w:rsidRDefault="00000000">
      <w:pPr>
        <w:jc w:val="both"/>
        <w:rPr>
          <w:i/>
          <w:iCs/>
          <w:sz w:val="23"/>
          <w:szCs w:val="23"/>
        </w:rPr>
      </w:pPr>
      <w:r>
        <w:rPr>
          <w:b/>
          <w:bCs/>
          <w:i/>
          <w:iCs/>
          <w:sz w:val="23"/>
          <w:szCs w:val="23"/>
        </w:rPr>
        <w:t>Figure 2.3</w:t>
      </w:r>
      <w:r>
        <w:rPr>
          <w:i/>
          <w:iCs/>
          <w:sz w:val="23"/>
          <w:szCs w:val="23"/>
        </w:rPr>
        <w:t>. Comparison of GPP from C6 MOD17A2 (left panel) with that from C6.1 (right panel) for two tiles of H11V08 (in Amazon) and H25V04 (in Mongolia). C6.1 now has much higher quality because data gaps caused by cloud contamination have been filled using an FPAR climatology.</w:t>
      </w:r>
    </w:p>
    <w:p w14:paraId="73BD339E" w14:textId="77777777" w:rsidR="006C0E82" w:rsidRDefault="006C0E82">
      <w:pPr>
        <w:jc w:val="both"/>
        <w:rPr>
          <w:i/>
          <w:iCs/>
          <w:sz w:val="23"/>
          <w:szCs w:val="23"/>
        </w:rPr>
      </w:pPr>
    </w:p>
    <w:p w14:paraId="08F3564A" w14:textId="02BB1CCC" w:rsidR="00107ECF" w:rsidRPr="00107ECF" w:rsidRDefault="00107ECF" w:rsidP="00107ECF">
      <w:pPr>
        <w:ind w:firstLine="720"/>
        <w:jc w:val="both"/>
        <w:rPr>
          <w:lang w:val="en-AU"/>
        </w:rPr>
      </w:pPr>
      <w:r>
        <w:rPr>
          <w:lang w:val="en-AU"/>
        </w:rPr>
        <w:t>Since we haven’t had official forward VIIRS C2 GPP/NPP data to show, f</w:t>
      </w:r>
      <w:r w:rsidR="006C0E82">
        <w:rPr>
          <w:lang w:val="en-AU"/>
        </w:rPr>
        <w:t xml:space="preserve">igure 2.3 is directly copied from the MODIS GPP/NPP C6.1 user guide, which clearly demonstrates the usefulness of MCD15A2HCL in the operational system for the forward MOD17 data product. </w:t>
      </w:r>
      <w:r w:rsidR="006C0E82">
        <w:t xml:space="preserve">Though the introduction of an FPAR/LAI climatology enhances the quality of the inputs and subsequent GPP and NPP estimates, the FPAR and LAI </w:t>
      </w:r>
      <w:proofErr w:type="spellStart"/>
      <w:r w:rsidR="006C0E82">
        <w:t>climatologies</w:t>
      </w:r>
      <w:proofErr w:type="spellEnd"/>
      <w:r w:rsidR="006C0E82">
        <w:t xml:space="preserve"> could introduce biases because they smooth out vegetation change caused by interannual variability climate, ecosystem </w:t>
      </w:r>
      <w:r w:rsidR="006C0E82">
        <w:lastRenderedPageBreak/>
        <w:t xml:space="preserve">disturbances, or recovery (e.g., fire, land-use change). Again, users should prefer the year-end gap-filled VNP17A2GF product, when possible, which </w:t>
      </w:r>
      <w:r>
        <w:t xml:space="preserve">doesn’t </w:t>
      </w:r>
      <w:r w:rsidR="006C0E82">
        <w:t>rel</w:t>
      </w:r>
      <w:r>
        <w:t xml:space="preserve">y </w:t>
      </w:r>
      <w:r w:rsidR="006C0E82">
        <w:t xml:space="preserve">on FPAR/LAI </w:t>
      </w:r>
      <w:proofErr w:type="gramStart"/>
      <w:r w:rsidR="006C0E82">
        <w:t>climatology</w:t>
      </w:r>
      <w:proofErr w:type="gramEnd"/>
      <w:r>
        <w:t xml:space="preserve"> but </w:t>
      </w:r>
      <w:r w:rsidRPr="00107ECF">
        <w:rPr>
          <w:lang w:val="en-AU"/>
        </w:rPr>
        <w:t>year-end Gap-Filled FPAR/LAI as detailed in the following subsection</w:t>
      </w:r>
      <w:r w:rsidR="006C0E82" w:rsidRPr="00107ECF">
        <w:rPr>
          <w:lang w:val="en-AU"/>
        </w:rPr>
        <w:t>.</w:t>
      </w:r>
    </w:p>
    <w:p w14:paraId="162BAA76" w14:textId="77777777" w:rsidR="0078185C" w:rsidRDefault="00000000">
      <w:pPr>
        <w:ind w:firstLine="720"/>
        <w:jc w:val="both"/>
        <w:rPr>
          <w:b/>
          <w:i/>
        </w:rPr>
      </w:pPr>
      <w:r>
        <w:t>To distinguish the year-end, gap-filled VNP17 with the forward data product, the leading letters of Gap-Filled, “GF”, are added to the data product name, and thus, their names are 8-day VNP17A2GF and VJ117A2GF, and annual VNP17A3GF and VJ117A3GF. These gap-filled data products will be generated at the end of each year or early next year when the entire yearly 46 8-day VNP15A2H/VJ115A2H are available, following the proposed method for improving MOD17 (Zhao et al., 2005).  Hence the gap-filled data products are the improved GPP/NPP which have cleaned the contaminated inputs from 8-day FPAR/LAI. However, users cannot get VNP17A2GF/VNP17A3GF in the near real-time manner because they will be generated at the end of a given year. This is the limitation of the year-end gap-filling method.  The detailed year-end gap-filling method is described in below section.</w:t>
      </w:r>
    </w:p>
    <w:p w14:paraId="687C6DE0" w14:textId="77777777" w:rsidR="0078185C" w:rsidRDefault="0078185C">
      <w:pPr>
        <w:ind w:firstLine="720"/>
        <w:jc w:val="both"/>
        <w:rPr>
          <w:b/>
          <w:i/>
        </w:rPr>
      </w:pPr>
    </w:p>
    <w:p w14:paraId="3BDC6EEA" w14:textId="63DEC13A" w:rsidR="0078185C" w:rsidRDefault="00000000">
      <w:pPr>
        <w:pStyle w:val="Heading3"/>
        <w:jc w:val="left"/>
      </w:pPr>
      <w:bookmarkStart w:id="18" w:name="_Toc181041989"/>
      <w:r>
        <w:t>2.</w:t>
      </w:r>
      <w:r w:rsidR="00095AFE">
        <w:t>5</w:t>
      </w:r>
      <w:r>
        <w:t>.2 Gap-filling FPAR/LAI for Year-end Gap-filled VNP17A2[3]GF</w:t>
      </w:r>
      <w:bookmarkEnd w:id="18"/>
    </w:p>
    <w:p w14:paraId="597DAEF1" w14:textId="0DAC0F92" w:rsidR="0078185C" w:rsidRDefault="00000000">
      <w:pPr>
        <w:ind w:firstLine="720"/>
        <w:jc w:val="both"/>
        <w:rPr>
          <w:b/>
          <w:i/>
        </w:rPr>
      </w:pPr>
      <w:r>
        <w:t xml:space="preserve">At the end of each year, we solved the issue of the contaminated FPAR/LAI inputs to VNP17A2[3]GF by removing poor-quality FPAR and LAI data based on the QC label for every pixel. If any LAI/FPAR pixel did not meet the quality screening criteria, its value is determined through linear interpolation between the previous period’s value and that of the next period. Figure 2.4 illustrates how this temporal filling approach is applied to a MODIS pixel in the Amazon region where higher frequency and persistence of cloud cover exists. </w:t>
      </w:r>
    </w:p>
    <w:p w14:paraId="1E80A1FE" w14:textId="7C07F7D9" w:rsidR="0078185C" w:rsidRDefault="00000000">
      <w:pPr>
        <w:ind w:firstLine="720"/>
        <w:jc w:val="both"/>
        <w:rPr>
          <w:b/>
          <w:i/>
        </w:rPr>
      </w:pPr>
      <w:r>
        <w:t>As depicted in Figure 2.4, contaminated FPAR/LAI were improved as the result of the filling process. However, there are some unusual 8-day periods with lower FPAR and LAI but good QC labels; we default to the established VNP15A2H QC labels. For any vegetated pixels, an improved VNP15A2H time series leads to improvements in VNP17 estimates. Under most conditions, 8-day composited GPP will increase because poor-quality FPAR and LAI values are generally lower (Figure 2.4), especially when cloud contamination is the cause.</w:t>
      </w:r>
    </w:p>
    <w:p w14:paraId="260CAA0B" w14:textId="19506383" w:rsidR="0078185C" w:rsidRDefault="0078185C">
      <w:pPr>
        <w:jc w:val="center"/>
        <w:rPr>
          <w:b/>
          <w:i/>
        </w:rPr>
      </w:pPr>
    </w:p>
    <w:p w14:paraId="7D3BEE8F" w14:textId="3C0664DE" w:rsidR="0078185C" w:rsidRDefault="00D247F4">
      <w:pPr>
        <w:jc w:val="both"/>
        <w:rPr>
          <w:b/>
          <w:bCs/>
          <w:i/>
        </w:rPr>
      </w:pPr>
      <w:r>
        <w:rPr>
          <w:b/>
          <w:i/>
          <w:noProof/>
        </w:rPr>
        <w:drawing>
          <wp:anchor distT="0" distB="0" distL="0" distR="0" simplePos="0" relativeHeight="28" behindDoc="0" locked="0" layoutInCell="1" allowOverlap="1" wp14:anchorId="7EAFE5E0" wp14:editId="75E8B5EA">
            <wp:simplePos x="0" y="0"/>
            <wp:positionH relativeFrom="column">
              <wp:posOffset>163195</wp:posOffset>
            </wp:positionH>
            <wp:positionV relativeFrom="paragraph">
              <wp:posOffset>57345</wp:posOffset>
            </wp:positionV>
            <wp:extent cx="3869690" cy="2821305"/>
            <wp:effectExtent l="0" t="0" r="3810" b="0"/>
            <wp:wrapNone/>
            <wp:docPr id="35" name="Picture 1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2" descr="Untitled"/>
                    <pic:cNvPicPr>
                      <a:picLocks noChangeAspect="1" noChangeArrowheads="1"/>
                    </pic:cNvPicPr>
                  </pic:nvPicPr>
                  <pic:blipFill>
                    <a:blip r:embed="rId26"/>
                    <a:stretch>
                      <a:fillRect/>
                    </a:stretch>
                  </pic:blipFill>
                  <pic:spPr bwMode="auto">
                    <a:xfrm>
                      <a:off x="0" y="0"/>
                      <a:ext cx="3869690" cy="2821305"/>
                    </a:xfrm>
                    <a:prstGeom prst="rect">
                      <a:avLst/>
                    </a:prstGeom>
                  </pic:spPr>
                </pic:pic>
              </a:graphicData>
            </a:graphic>
            <wp14:sizeRelH relativeFrom="margin">
              <wp14:pctWidth>0</wp14:pctWidth>
            </wp14:sizeRelH>
            <wp14:sizeRelV relativeFrom="margin">
              <wp14:pctHeight>0</wp14:pctHeight>
            </wp14:sizeRelV>
          </wp:anchor>
        </w:drawing>
      </w:r>
    </w:p>
    <w:p w14:paraId="3B88899E" w14:textId="46B2D93A" w:rsidR="0078185C" w:rsidRDefault="00D247F4">
      <w:pPr>
        <w:jc w:val="both"/>
        <w:rPr>
          <w:b/>
          <w:bCs/>
          <w:i/>
        </w:rPr>
      </w:pPr>
      <w:r>
        <w:rPr>
          <w:b/>
          <w:i/>
          <w:noProof/>
        </w:rPr>
        <mc:AlternateContent>
          <mc:Choice Requires="wps">
            <w:drawing>
              <wp:anchor distT="0" distB="0" distL="0" distR="0" simplePos="0" relativeHeight="29" behindDoc="0" locked="0" layoutInCell="1" allowOverlap="1" wp14:anchorId="07537A73" wp14:editId="08FB23B8">
                <wp:simplePos x="0" y="0"/>
                <wp:positionH relativeFrom="column">
                  <wp:posOffset>4097655</wp:posOffset>
                </wp:positionH>
                <wp:positionV relativeFrom="paragraph">
                  <wp:posOffset>134815</wp:posOffset>
                </wp:positionV>
                <wp:extent cx="1795780" cy="2195830"/>
                <wp:effectExtent l="0" t="0" r="7620" b="13970"/>
                <wp:wrapNone/>
                <wp:docPr id="33" name="Text Box 55"/>
                <wp:cNvGraphicFramePr/>
                <a:graphic xmlns:a="http://schemas.openxmlformats.org/drawingml/2006/main">
                  <a:graphicData uri="http://schemas.microsoft.com/office/word/2010/wordprocessingShape">
                    <wps:wsp>
                      <wps:cNvSpPr/>
                      <wps:spPr>
                        <a:xfrm>
                          <a:off x="0" y="0"/>
                          <a:ext cx="1795780" cy="2195830"/>
                        </a:xfrm>
                        <a:prstGeom prst="rect">
                          <a:avLst/>
                        </a:prstGeom>
                        <a:solidFill>
                          <a:schemeClr val="lt1"/>
                        </a:solidFill>
                        <a:ln w="6480">
                          <a:solidFill>
                            <a:srgbClr val="000000"/>
                          </a:solidFill>
                          <a:round/>
                        </a:ln>
                      </wps:spPr>
                      <wps:style>
                        <a:lnRef idx="0">
                          <a:scrgbClr r="0" g="0" b="0"/>
                        </a:lnRef>
                        <a:fillRef idx="0">
                          <a:scrgbClr r="0" g="0" b="0"/>
                        </a:fillRef>
                        <a:effectRef idx="0">
                          <a:scrgbClr r="0" g="0" b="0"/>
                        </a:effectRef>
                        <a:fontRef idx="minor"/>
                      </wps:style>
                      <wps:txbx>
                        <w:txbxContent>
                          <w:p w14:paraId="52C50427" w14:textId="4D8602B6" w:rsidR="0078185C" w:rsidRDefault="00000000">
                            <w:pPr>
                              <w:pStyle w:val="FrameContents"/>
                              <w:rPr>
                                <w:b/>
                                <w:sz w:val="28"/>
                                <w:szCs w:val="28"/>
                              </w:rPr>
                            </w:pPr>
                            <w:r>
                              <w:rPr>
                                <w:b/>
                                <w:bCs/>
                                <w:i/>
                                <w:color w:val="000000"/>
                              </w:rPr>
                              <w:t>Figure 2.4.</w:t>
                            </w:r>
                            <w:r>
                              <w:rPr>
                                <w:i/>
                                <w:color w:val="000000"/>
                              </w:rPr>
                              <w:t xml:space="preserve"> </w:t>
                            </w:r>
                            <w:r>
                              <w:rPr>
                                <w:i/>
                                <w:color w:val="000000"/>
                                <w:lang w:val="en-AU"/>
                              </w:rPr>
                              <w:t>An example on how temporal filling unreliable 8-day Collection 4 MODIS FPAR/LAI, and therefore improved 8-day GPP and PSN</w:t>
                            </w:r>
                            <w:r>
                              <w:rPr>
                                <w:i/>
                                <w:color w:val="000000"/>
                                <w:vertAlign w:val="subscript"/>
                                <w:lang w:val="en-AU"/>
                              </w:rPr>
                              <w:t>net</w:t>
                            </w:r>
                            <w:r>
                              <w:rPr>
                                <w:i/>
                                <w:color w:val="000000"/>
                                <w:lang w:val="en-AU"/>
                              </w:rPr>
                              <w:t xml:space="preserve"> for one MODIS 1-km pixel located in Amazon basin (lat = -5.0, lon = -65.0) (from Zhao et al. 2005).</w:t>
                            </w:r>
                          </w:p>
                          <w:p w14:paraId="5B2F9378" w14:textId="77777777" w:rsidR="0078185C" w:rsidRDefault="0078185C">
                            <w:pPr>
                              <w:pStyle w:val="FrameContents"/>
                              <w:rPr>
                                <w:color w:val="00000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07537A73" id="Text Box 55" o:spid="_x0000_s1031" style="position:absolute;left:0;text-align:left;margin-left:322.65pt;margin-top:10.6pt;width:141.4pt;height:172.9pt;z-index:29;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" fillcolor="white [3201]" strokeweight=".18mm">
                <v:stroke joinstyle="round"/>
                <v:textbox>
                  <w:txbxContent>
                    <w:p w14:paraId="52C50427" w14:textId="4D8602B6" w:rsidR="0078185C" w:rsidRDefault="00000000">
                      <w:pPr>
                        <w:pStyle w:val="FrameContents"/>
                        <w:rPr>
                          <w:b/>
                          <w:sz w:val="28"/>
                          <w:szCs w:val="28"/>
                        </w:rPr>
                      </w:pPr>
                      <w:r>
                        <w:rPr>
                          <w:b/>
                          <w:bCs/>
                          <w:i/>
                          <w:color w:val="000000"/>
                        </w:rPr>
                        <w:t>Figure 2.4.</w:t>
                      </w:r>
                      <w:r>
                        <w:rPr>
                          <w:i/>
                          <w:color w:val="000000"/>
                        </w:rPr>
                        <w:t xml:space="preserve"> </w:t>
                      </w:r>
                      <w:r>
                        <w:rPr>
                          <w:i/>
                          <w:color w:val="000000"/>
                          <w:lang w:val="en-AU"/>
                        </w:rPr>
                        <w:t>An example on how temporal filling unreliable 8-day Collection 4 MODIS FPAR/LAI, and therefore improved 8-day GPP and PSN</w:t>
                      </w:r>
                      <w:r>
                        <w:rPr>
                          <w:i/>
                          <w:color w:val="000000"/>
                          <w:vertAlign w:val="subscript"/>
                          <w:lang w:val="en-AU"/>
                        </w:rPr>
                        <w:t>net</w:t>
                      </w:r>
                      <w:r>
                        <w:rPr>
                          <w:i/>
                          <w:color w:val="000000"/>
                          <w:lang w:val="en-AU"/>
                        </w:rPr>
                        <w:t xml:space="preserve"> for one MODIS 1-km pixel located in Amazon basin (lat = -5.0, lon = -65.0) (from Zhao et al. 2005).</w:t>
                      </w:r>
                    </w:p>
                    <w:p w14:paraId="5B2F9378" w14:textId="77777777" w:rsidR="0078185C" w:rsidRDefault="0078185C">
                      <w:pPr>
                        <w:pStyle w:val="FrameContents"/>
                        <w:rPr>
                          <w:color w:val="000000"/>
                        </w:rPr>
                      </w:pPr>
                    </w:p>
                  </w:txbxContent>
                </v:textbox>
              </v:rect>
            </w:pict>
          </mc:Fallback>
        </mc:AlternateContent>
      </w:r>
    </w:p>
    <w:p w14:paraId="69E2BB2B" w14:textId="77777777" w:rsidR="0078185C" w:rsidRDefault="0078185C">
      <w:pPr>
        <w:jc w:val="both"/>
        <w:rPr>
          <w:b/>
          <w:bCs/>
          <w:i/>
        </w:rPr>
      </w:pPr>
    </w:p>
    <w:p w14:paraId="57C0D796" w14:textId="77777777" w:rsidR="0078185C" w:rsidRDefault="0078185C">
      <w:pPr>
        <w:jc w:val="both"/>
        <w:rPr>
          <w:b/>
          <w:bCs/>
          <w:i/>
        </w:rPr>
      </w:pPr>
    </w:p>
    <w:p w14:paraId="0D142F6F" w14:textId="77777777" w:rsidR="0078185C" w:rsidRDefault="0078185C">
      <w:pPr>
        <w:jc w:val="both"/>
        <w:rPr>
          <w:b/>
          <w:bCs/>
          <w:i/>
        </w:rPr>
      </w:pPr>
    </w:p>
    <w:p w14:paraId="4475AD14" w14:textId="77777777" w:rsidR="0078185C" w:rsidRDefault="0078185C">
      <w:pPr>
        <w:jc w:val="both"/>
        <w:rPr>
          <w:b/>
          <w:bCs/>
          <w:i/>
        </w:rPr>
      </w:pPr>
    </w:p>
    <w:p w14:paraId="120C4E94" w14:textId="77777777" w:rsidR="0078185C" w:rsidRDefault="0078185C">
      <w:pPr>
        <w:jc w:val="both"/>
        <w:rPr>
          <w:b/>
          <w:bCs/>
          <w:i/>
        </w:rPr>
      </w:pPr>
    </w:p>
    <w:p w14:paraId="42AFC42D" w14:textId="77777777" w:rsidR="0078185C" w:rsidRDefault="0078185C">
      <w:pPr>
        <w:jc w:val="both"/>
        <w:rPr>
          <w:b/>
          <w:bCs/>
          <w:i/>
        </w:rPr>
      </w:pPr>
    </w:p>
    <w:p w14:paraId="271CA723" w14:textId="77777777" w:rsidR="0078185C" w:rsidRDefault="0078185C">
      <w:pPr>
        <w:jc w:val="both"/>
        <w:rPr>
          <w:b/>
          <w:bCs/>
          <w:i/>
        </w:rPr>
      </w:pPr>
    </w:p>
    <w:p w14:paraId="75FBE423" w14:textId="77777777" w:rsidR="0078185C" w:rsidRDefault="0078185C">
      <w:pPr>
        <w:jc w:val="both"/>
        <w:rPr>
          <w:b/>
          <w:bCs/>
          <w:i/>
        </w:rPr>
      </w:pPr>
    </w:p>
    <w:p w14:paraId="2D3F0BEC" w14:textId="77777777" w:rsidR="0078185C" w:rsidRDefault="0078185C">
      <w:pPr>
        <w:jc w:val="both"/>
        <w:rPr>
          <w:b/>
          <w:bCs/>
          <w:i/>
        </w:rPr>
      </w:pPr>
    </w:p>
    <w:p w14:paraId="75CF4315" w14:textId="77777777" w:rsidR="0078185C" w:rsidRDefault="0078185C">
      <w:pPr>
        <w:jc w:val="both"/>
        <w:rPr>
          <w:b/>
          <w:bCs/>
          <w:i/>
        </w:rPr>
      </w:pPr>
    </w:p>
    <w:p w14:paraId="3CB648E9" w14:textId="77777777" w:rsidR="0078185C" w:rsidRDefault="0078185C">
      <w:pPr>
        <w:jc w:val="both"/>
        <w:rPr>
          <w:b/>
          <w:bCs/>
          <w:i/>
        </w:rPr>
      </w:pPr>
    </w:p>
    <w:p w14:paraId="0C178E9E" w14:textId="77777777" w:rsidR="0078185C" w:rsidRDefault="0078185C">
      <w:pPr>
        <w:jc w:val="both"/>
        <w:rPr>
          <w:b/>
          <w:bCs/>
          <w:i/>
        </w:rPr>
      </w:pPr>
    </w:p>
    <w:p w14:paraId="3C0395D3" w14:textId="77777777" w:rsidR="0078185C" w:rsidRDefault="0078185C">
      <w:pPr>
        <w:jc w:val="both"/>
        <w:rPr>
          <w:b/>
          <w:bCs/>
          <w:i/>
        </w:rPr>
      </w:pPr>
    </w:p>
    <w:p w14:paraId="79EC93D9" w14:textId="77777777" w:rsidR="00D247F4" w:rsidRDefault="00D247F4">
      <w:pPr>
        <w:jc w:val="both"/>
        <w:rPr>
          <w:b/>
          <w:bCs/>
          <w:i/>
        </w:rPr>
      </w:pPr>
    </w:p>
    <w:p w14:paraId="4299D33B" w14:textId="77777777" w:rsidR="0063439D" w:rsidRDefault="0063439D">
      <w:pPr>
        <w:jc w:val="both"/>
        <w:rPr>
          <w:b/>
          <w:bCs/>
          <w:i/>
        </w:rPr>
      </w:pPr>
    </w:p>
    <w:p w14:paraId="7513CCD8" w14:textId="77777777" w:rsidR="0063439D" w:rsidRDefault="0063439D">
      <w:pPr>
        <w:jc w:val="both"/>
        <w:rPr>
          <w:b/>
          <w:bCs/>
          <w:i/>
        </w:rPr>
      </w:pPr>
    </w:p>
    <w:p w14:paraId="2A6EB95F" w14:textId="77777777" w:rsidR="0078185C" w:rsidRDefault="00000000">
      <w:pPr>
        <w:jc w:val="both"/>
        <w:rPr>
          <w:b/>
          <w:bCs/>
          <w:i/>
        </w:rPr>
      </w:pPr>
      <w:r>
        <w:rPr>
          <w:b/>
          <w:bCs/>
          <w:i/>
          <w:noProof/>
        </w:rPr>
        <w:lastRenderedPageBreak/>
        <w:drawing>
          <wp:anchor distT="0" distB="0" distL="0" distR="0" simplePos="0" relativeHeight="25" behindDoc="0" locked="0" layoutInCell="1" allowOverlap="1" wp14:anchorId="6F2922DA" wp14:editId="07777777">
            <wp:simplePos x="0" y="0"/>
            <wp:positionH relativeFrom="column">
              <wp:posOffset>3014345</wp:posOffset>
            </wp:positionH>
            <wp:positionV relativeFrom="paragraph">
              <wp:posOffset>60325</wp:posOffset>
            </wp:positionV>
            <wp:extent cx="3001645" cy="1330960"/>
            <wp:effectExtent l="0" t="0" r="0" b="0"/>
            <wp:wrapNone/>
            <wp:docPr id="36" name="Picture 10"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descr="Graphical user interface, application, map&#10;&#10;Description automatically generated"/>
                    <pic:cNvPicPr>
                      <a:picLocks noChangeAspect="1" noChangeArrowheads="1"/>
                    </pic:cNvPicPr>
                  </pic:nvPicPr>
                  <pic:blipFill>
                    <a:blip r:embed="rId27"/>
                    <a:stretch>
                      <a:fillRect/>
                    </a:stretch>
                  </pic:blipFill>
                  <pic:spPr bwMode="auto">
                    <a:xfrm>
                      <a:off x="0" y="0"/>
                      <a:ext cx="3001645" cy="1330960"/>
                    </a:xfrm>
                    <a:prstGeom prst="rect">
                      <a:avLst/>
                    </a:prstGeom>
                  </pic:spPr>
                </pic:pic>
              </a:graphicData>
            </a:graphic>
          </wp:anchor>
        </w:drawing>
      </w:r>
      <w:r>
        <w:rPr>
          <w:b/>
          <w:bCs/>
          <w:i/>
          <w:noProof/>
        </w:rPr>
        <w:drawing>
          <wp:anchor distT="0" distB="0" distL="0" distR="0" simplePos="0" relativeHeight="30" behindDoc="0" locked="0" layoutInCell="1" allowOverlap="1" wp14:anchorId="3E891A91" wp14:editId="07777777">
            <wp:simplePos x="0" y="0"/>
            <wp:positionH relativeFrom="column">
              <wp:posOffset>14605</wp:posOffset>
            </wp:positionH>
            <wp:positionV relativeFrom="paragraph">
              <wp:posOffset>59055</wp:posOffset>
            </wp:positionV>
            <wp:extent cx="3002280" cy="1330960"/>
            <wp:effectExtent l="0" t="0" r="0" b="0"/>
            <wp:wrapNone/>
            <wp:docPr id="37" name="Picture 60" descr="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60" descr="Application, map&#10;&#10;Description automatically generated"/>
                    <pic:cNvPicPr>
                      <a:picLocks noChangeAspect="1" noChangeArrowheads="1"/>
                    </pic:cNvPicPr>
                  </pic:nvPicPr>
                  <pic:blipFill>
                    <a:blip r:embed="rId23"/>
                    <a:stretch>
                      <a:fillRect/>
                    </a:stretch>
                  </pic:blipFill>
                  <pic:spPr bwMode="auto">
                    <a:xfrm>
                      <a:off x="0" y="0"/>
                      <a:ext cx="3002280" cy="1330960"/>
                    </a:xfrm>
                    <a:prstGeom prst="rect">
                      <a:avLst/>
                    </a:prstGeom>
                  </pic:spPr>
                </pic:pic>
              </a:graphicData>
            </a:graphic>
          </wp:anchor>
        </w:drawing>
      </w:r>
    </w:p>
    <w:p w14:paraId="3254BC2F" w14:textId="77777777" w:rsidR="0078185C" w:rsidRDefault="0078185C">
      <w:pPr>
        <w:ind w:firstLine="720"/>
        <w:jc w:val="both"/>
        <w:rPr>
          <w:lang w:eastAsia="zh-CN"/>
        </w:rPr>
      </w:pPr>
    </w:p>
    <w:p w14:paraId="651E9592" w14:textId="77777777" w:rsidR="0078185C" w:rsidRDefault="0078185C">
      <w:pPr>
        <w:jc w:val="both"/>
        <w:rPr>
          <w:b/>
          <w:i/>
        </w:rPr>
      </w:pPr>
    </w:p>
    <w:p w14:paraId="269E314A" w14:textId="77777777" w:rsidR="0078185C" w:rsidRDefault="0078185C">
      <w:pPr>
        <w:ind w:firstLine="720"/>
        <w:jc w:val="both"/>
        <w:rPr>
          <w:b/>
          <w:i/>
        </w:rPr>
      </w:pPr>
    </w:p>
    <w:p w14:paraId="47341341" w14:textId="77777777" w:rsidR="0078185C" w:rsidRDefault="0078185C">
      <w:pPr>
        <w:ind w:firstLine="720"/>
        <w:jc w:val="both"/>
        <w:rPr>
          <w:rFonts w:eastAsia="Arial"/>
          <w:bCs/>
        </w:rPr>
      </w:pPr>
    </w:p>
    <w:p w14:paraId="42EF2083" w14:textId="77777777" w:rsidR="0078185C" w:rsidRDefault="0078185C">
      <w:pPr>
        <w:ind w:firstLine="720"/>
        <w:jc w:val="both"/>
        <w:rPr>
          <w:b/>
          <w:i/>
        </w:rPr>
      </w:pPr>
    </w:p>
    <w:p w14:paraId="7B40C951" w14:textId="77777777" w:rsidR="0078185C" w:rsidRDefault="0078185C">
      <w:pPr>
        <w:ind w:firstLine="720"/>
        <w:jc w:val="both"/>
        <w:rPr>
          <w:b/>
          <w:i/>
        </w:rPr>
      </w:pPr>
    </w:p>
    <w:p w14:paraId="4B4D7232" w14:textId="77777777" w:rsidR="0078185C" w:rsidRDefault="0078185C">
      <w:pPr>
        <w:ind w:firstLine="720"/>
        <w:jc w:val="both"/>
        <w:rPr>
          <w:b/>
          <w:i/>
        </w:rPr>
      </w:pPr>
    </w:p>
    <w:p w14:paraId="7DB1ABDD" w14:textId="77777777" w:rsidR="0078185C" w:rsidRDefault="00000000">
      <w:pPr>
        <w:pStyle w:val="PlainText"/>
        <w:keepNext/>
        <w:jc w:val="both"/>
        <w:rPr>
          <w:rFonts w:ascii="Times New Roman" w:hAnsi="Times New Roman" w:cs="Times New Roman"/>
          <w:bCs/>
          <w:i/>
          <w:sz w:val="24"/>
          <w:szCs w:val="24"/>
          <w:lang w:val="en-AU"/>
        </w:rPr>
      </w:pPr>
      <w:r>
        <w:rPr>
          <w:rFonts w:ascii="Times New Roman" w:hAnsi="Times New Roman" w:cs="Times New Roman"/>
          <w:b/>
          <w:bCs/>
          <w:i/>
          <w:sz w:val="24"/>
          <w:szCs w:val="24"/>
          <w:lang w:val="en-AU"/>
        </w:rPr>
        <w:t>Figure 2.5.</w:t>
      </w:r>
      <w:r>
        <w:rPr>
          <w:rFonts w:ascii="Times New Roman" w:hAnsi="Times New Roman" w:cs="Times New Roman"/>
          <w:bCs/>
          <w:i/>
          <w:sz w:val="24"/>
          <w:szCs w:val="24"/>
          <w:lang w:val="en-AU"/>
        </w:rPr>
        <w:t xml:space="preserve"> Comparisons of 8-day combined FPAR of VNP15A2H and MCD15A2HCL (left panel) with the year-end gap-filled (right panel) for two tiles Amazonia H11V08 and Mongolian H25V04. The overall minor differences in the mean reveal the powerful effects of the combination method on the improvements of FPAR.  But year-end gap-filled still be the last choice data as it contains more realistic vegetation dynamics for the 8-day in that year.</w:t>
      </w:r>
    </w:p>
    <w:p w14:paraId="2093CA67" w14:textId="77777777" w:rsidR="0078185C" w:rsidRDefault="0078185C">
      <w:pPr>
        <w:pStyle w:val="PlainText"/>
        <w:keepNext/>
        <w:jc w:val="both"/>
        <w:rPr>
          <w:rFonts w:ascii="Times New Roman" w:hAnsi="Times New Roman" w:cs="Times New Roman"/>
          <w:bCs/>
          <w:iCs/>
          <w:sz w:val="24"/>
          <w:szCs w:val="24"/>
          <w:lang w:val="en-AU"/>
        </w:rPr>
      </w:pPr>
    </w:p>
    <w:p w14:paraId="736CE8D7" w14:textId="6A20ADC0" w:rsidR="0078185C" w:rsidRDefault="00000000">
      <w:pPr>
        <w:ind w:firstLine="720"/>
        <w:jc w:val="both"/>
        <w:rPr>
          <w:bCs/>
        </w:rPr>
      </w:pPr>
      <w:r>
        <w:rPr>
          <w:bCs/>
        </w:rPr>
        <w:t xml:space="preserve">As shown in Figure 2.2 and 2.5, due to the frequent cloudiness in 8-day 2003081, some FPAR retrievals in the Amazon tile h11v08 are contaminated with unrealistically low values; we call these errors in FPAR </w:t>
      </w:r>
      <w:r w:rsidR="006B33A0">
        <w:rPr>
          <w:bCs/>
        </w:rPr>
        <w:t>retrievals</w:t>
      </w:r>
      <w:r>
        <w:rPr>
          <w:bCs/>
        </w:rPr>
        <w:t xml:space="preserve"> “gaps” in the time series for a given pixel.   At the end of each year, when all 46 8-day VNP15A2H are available, the year-end gap-filling process fills these gaps and results in more reliable, gap-filled FPAR/LAI images. We named this intermediate, </w:t>
      </w:r>
      <w:r w:rsidR="00C01C7A">
        <w:rPr>
          <w:bCs/>
        </w:rPr>
        <w:t>gap filled</w:t>
      </w:r>
      <w:r>
        <w:rPr>
          <w:bCs/>
        </w:rPr>
        <w:t xml:space="preserve"> FPAR/LAI as VNP15A2HGF. Using VNP</w:t>
      </w:r>
      <w:r>
        <w:rPr>
          <w:rFonts w:eastAsia="Arial"/>
          <w:bCs/>
        </w:rPr>
        <w:t>15A2HGF (VJ115A2HGF) to replace VNP15A2H (VJ115A2H) to reprocess the VNP17 (VJ117) data products, the result is 8-day VNP17A2GF (VJ117A2GF) and annual VNP17A3GF (VJ117A3GF)</w:t>
      </w:r>
      <w:r>
        <w:rPr>
          <w:bCs/>
        </w:rPr>
        <w:t xml:space="preserve">. As depicted in Figure 2.6 and 2.7, both 8-day VNP17A2GF and annual VNP17A3GF are improved. </w:t>
      </w:r>
    </w:p>
    <w:p w14:paraId="147C9409" w14:textId="2575E92B" w:rsidR="0078185C" w:rsidRDefault="00095AFE">
      <w:pPr>
        <w:pStyle w:val="PlainText"/>
        <w:keepNext/>
        <w:jc w:val="both"/>
        <w:rPr>
          <w:rFonts w:ascii="Times New Roman" w:hAnsi="Times New Roman" w:cs="Times New Roman"/>
          <w:bCs/>
          <w:i/>
          <w:sz w:val="24"/>
          <w:szCs w:val="24"/>
          <w:lang w:val="en-AU"/>
        </w:rPr>
      </w:pPr>
      <w:r>
        <w:rPr>
          <w:rFonts w:ascii="Times New Roman" w:hAnsi="Times New Roman" w:cs="Times New Roman"/>
          <w:bCs/>
          <w:i/>
          <w:noProof/>
          <w:sz w:val="24"/>
          <w:szCs w:val="24"/>
          <w:lang w:val="en-AU"/>
        </w:rPr>
        <mc:AlternateContent>
          <mc:Choice Requires="wps">
            <w:drawing>
              <wp:anchor distT="0" distB="0" distL="0" distR="0" simplePos="0" relativeHeight="26" behindDoc="0" locked="0" layoutInCell="1" allowOverlap="1" wp14:anchorId="5E111BAE" wp14:editId="112A61B2">
                <wp:simplePos x="0" y="0"/>
                <wp:positionH relativeFrom="column">
                  <wp:posOffset>3994394</wp:posOffset>
                </wp:positionH>
                <wp:positionV relativeFrom="paragraph">
                  <wp:posOffset>151814</wp:posOffset>
                </wp:positionV>
                <wp:extent cx="1959429" cy="3135086"/>
                <wp:effectExtent l="0" t="0" r="9525" b="14605"/>
                <wp:wrapNone/>
                <wp:docPr id="38" name="Text Box 22"/>
                <wp:cNvGraphicFramePr/>
                <a:graphic xmlns:a="http://schemas.openxmlformats.org/drawingml/2006/main">
                  <a:graphicData uri="http://schemas.microsoft.com/office/word/2010/wordprocessingShape">
                    <wps:wsp>
                      <wps:cNvSpPr/>
                      <wps:spPr>
                        <a:xfrm>
                          <a:off x="0" y="0"/>
                          <a:ext cx="1959429" cy="3135086"/>
                        </a:xfrm>
                        <a:prstGeom prst="rect">
                          <a:avLst/>
                        </a:prstGeom>
                        <a:solidFill>
                          <a:schemeClr val="lt1"/>
                        </a:solidFill>
                        <a:ln w="6480">
                          <a:solidFill>
                            <a:srgbClr val="000000"/>
                          </a:solidFill>
                          <a:round/>
                        </a:ln>
                      </wps:spPr>
                      <wps:style>
                        <a:lnRef idx="0">
                          <a:scrgbClr r="0" g="0" b="0"/>
                        </a:lnRef>
                        <a:fillRef idx="0">
                          <a:scrgbClr r="0" g="0" b="0"/>
                        </a:fillRef>
                        <a:effectRef idx="0">
                          <a:scrgbClr r="0" g="0" b="0"/>
                        </a:effectRef>
                        <a:fontRef idx="minor"/>
                      </wps:style>
                      <wps:txbx>
                        <w:txbxContent>
                          <w:p w14:paraId="4A93A9C5" w14:textId="77777777" w:rsidR="0078185C" w:rsidRDefault="00000000" w:rsidP="00D247F4">
                            <w:pPr>
                              <w:pStyle w:val="PlainText"/>
                              <w:keepNext/>
                              <w:jc w:val="both"/>
                              <w:rPr>
                                <w:rFonts w:ascii="Times New Roman" w:hAnsi="Times New Roman" w:cs="Times New Roman"/>
                                <w:bCs/>
                                <w:i/>
                                <w:sz w:val="24"/>
                                <w:szCs w:val="24"/>
                                <w:lang w:val="en-AU"/>
                              </w:rPr>
                            </w:pPr>
                            <w:r>
                              <w:rPr>
                                <w:rFonts w:ascii="Times New Roman" w:hAnsi="Times New Roman" w:cs="Times New Roman"/>
                                <w:b/>
                                <w:bCs/>
                                <w:i/>
                                <w:color w:val="000000"/>
                                <w:sz w:val="24"/>
                                <w:szCs w:val="24"/>
                                <w:lang w:val="en-AU"/>
                              </w:rPr>
                              <w:t>Figure 2.6.</w:t>
                            </w:r>
                            <w:r>
                              <w:rPr>
                                <w:rFonts w:ascii="Times New Roman" w:hAnsi="Times New Roman" w:cs="Times New Roman"/>
                                <w:bCs/>
                                <w:i/>
                                <w:color w:val="000000"/>
                                <w:sz w:val="24"/>
                                <w:szCs w:val="24"/>
                                <w:lang w:val="en-AU"/>
                              </w:rPr>
                              <w:t xml:space="preserve"> Comparisons of 8-day GPP from the forward VNP17A2 (upper panel) and year-end gap-filled VNP17A2GF (bottom panel) for two tiles.  The closeness of the two estimated results indicates the effectiveness of using combined FPAR as input for the forward data products.  Gap-filled is still the final choice at the end of the year because gap-filled FPAR/LAI contain more realistic vegetation dynamics for the 8-day in that year. </w:t>
                            </w:r>
                          </w:p>
                          <w:p w14:paraId="2503B197" w14:textId="77777777" w:rsidR="0078185C" w:rsidRDefault="0078185C">
                            <w:pPr>
                              <w:pStyle w:val="FrameContents"/>
                              <w:rPr>
                                <w:color w:val="00000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5E111BAE" id="Text Box 22" o:spid="_x0000_s1032" style="position:absolute;left:0;text-align:left;margin-left:314.5pt;margin-top:11.95pt;width:154.3pt;height:246.85pt;z-index:2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" fillcolor="white [3201]" strokeweight=".18mm">
                <v:stroke joinstyle="round"/>
                <v:textbox>
                  <w:txbxContent>
                    <w:p w14:paraId="4A93A9C5" w14:textId="77777777" w:rsidR="0078185C" w:rsidRDefault="00000000" w:rsidP="00D247F4">
                      <w:pPr>
                        <w:pStyle w:val="PlainText"/>
                        <w:keepNext/>
                        <w:jc w:val="both"/>
                        <w:rPr>
                          <w:rFonts w:ascii="Times New Roman" w:hAnsi="Times New Roman" w:cs="Times New Roman"/>
                          <w:bCs/>
                          <w:i/>
                          <w:sz w:val="24"/>
                          <w:szCs w:val="24"/>
                          <w:lang w:val="en-AU"/>
                        </w:rPr>
                      </w:pPr>
                      <w:r>
                        <w:rPr>
                          <w:rFonts w:ascii="Times New Roman" w:hAnsi="Times New Roman" w:cs="Times New Roman"/>
                          <w:b/>
                          <w:bCs/>
                          <w:i/>
                          <w:color w:val="000000"/>
                          <w:sz w:val="24"/>
                          <w:szCs w:val="24"/>
                          <w:lang w:val="en-AU"/>
                        </w:rPr>
                        <w:t>Figure 2.6.</w:t>
                      </w:r>
                      <w:r>
                        <w:rPr>
                          <w:rFonts w:ascii="Times New Roman" w:hAnsi="Times New Roman" w:cs="Times New Roman"/>
                          <w:bCs/>
                          <w:i/>
                          <w:color w:val="000000"/>
                          <w:sz w:val="24"/>
                          <w:szCs w:val="24"/>
                          <w:lang w:val="en-AU"/>
                        </w:rPr>
                        <w:t xml:space="preserve"> Comparisons of 8-day GPP from the forward VNP17A2 (upper panel) and year-end gap-filled VNP17A2GF (bottom panel) for two tiles.  The closeness of the two estimated results indicates the effectiveness of using combined FPAR as input for the forward data products.  Gap-filled is still the final choice at the end of the year because gap-filled FPAR/LAI contain more realistic vegetation dynamics for the 8-day in that year. </w:t>
                      </w:r>
                    </w:p>
                    <w:p w14:paraId="2503B197" w14:textId="77777777" w:rsidR="0078185C" w:rsidRDefault="0078185C">
                      <w:pPr>
                        <w:pStyle w:val="FrameContents"/>
                        <w:rPr>
                          <w:color w:val="000000"/>
                        </w:rPr>
                      </w:pPr>
                    </w:p>
                  </w:txbxContent>
                </v:textbox>
              </v:rect>
            </w:pict>
          </mc:Fallback>
        </mc:AlternateContent>
      </w:r>
      <w:r>
        <w:rPr>
          <w:rFonts w:ascii="Times New Roman" w:hAnsi="Times New Roman" w:cs="Times New Roman"/>
          <w:bCs/>
          <w:i/>
          <w:noProof/>
          <w:sz w:val="24"/>
          <w:szCs w:val="24"/>
          <w:lang w:val="en-AU"/>
        </w:rPr>
        <w:drawing>
          <wp:anchor distT="0" distB="0" distL="0" distR="0" simplePos="0" relativeHeight="21" behindDoc="0" locked="0" layoutInCell="1" allowOverlap="1" wp14:anchorId="3931ED7D" wp14:editId="0A6C7793">
            <wp:simplePos x="0" y="0"/>
            <wp:positionH relativeFrom="column">
              <wp:posOffset>-36830</wp:posOffset>
            </wp:positionH>
            <wp:positionV relativeFrom="paragraph">
              <wp:posOffset>56515</wp:posOffset>
            </wp:positionV>
            <wp:extent cx="4032885" cy="3574415"/>
            <wp:effectExtent l="0" t="0" r="0" b="0"/>
            <wp:wrapNone/>
            <wp:docPr id="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6"/>
                    <pic:cNvPicPr>
                      <a:picLocks noChangeAspect="1" noChangeArrowheads="1"/>
                    </pic:cNvPicPr>
                  </pic:nvPicPr>
                  <pic:blipFill>
                    <a:blip r:embed="rId28"/>
                    <a:stretch>
                      <a:fillRect/>
                    </a:stretch>
                  </pic:blipFill>
                  <pic:spPr bwMode="auto">
                    <a:xfrm>
                      <a:off x="0" y="0"/>
                      <a:ext cx="4032885" cy="3574415"/>
                    </a:xfrm>
                    <a:prstGeom prst="rect">
                      <a:avLst/>
                    </a:prstGeom>
                  </pic:spPr>
                </pic:pic>
              </a:graphicData>
            </a:graphic>
          </wp:anchor>
        </w:drawing>
      </w:r>
    </w:p>
    <w:p w14:paraId="20BD9A1A" w14:textId="18E85E4A" w:rsidR="0078185C" w:rsidRDefault="0078185C">
      <w:pPr>
        <w:pStyle w:val="PlainText"/>
        <w:keepNext/>
        <w:jc w:val="both"/>
        <w:rPr>
          <w:rFonts w:ascii="Times New Roman" w:hAnsi="Times New Roman" w:cs="Times New Roman"/>
          <w:bCs/>
          <w:i/>
          <w:sz w:val="24"/>
          <w:szCs w:val="24"/>
          <w:lang w:val="en-AU"/>
        </w:rPr>
      </w:pPr>
    </w:p>
    <w:p w14:paraId="0C136CF1" w14:textId="77777777" w:rsidR="0078185C" w:rsidRDefault="0078185C">
      <w:pPr>
        <w:pStyle w:val="PlainText"/>
        <w:keepNext/>
        <w:jc w:val="both"/>
        <w:rPr>
          <w:rFonts w:ascii="Times New Roman" w:hAnsi="Times New Roman" w:cs="Times New Roman"/>
          <w:bCs/>
          <w:i/>
          <w:sz w:val="24"/>
          <w:szCs w:val="24"/>
          <w:lang w:val="en-AU"/>
        </w:rPr>
      </w:pPr>
    </w:p>
    <w:p w14:paraId="0A392C6A" w14:textId="77777777" w:rsidR="0078185C" w:rsidRDefault="0078185C">
      <w:pPr>
        <w:pStyle w:val="PlainText"/>
        <w:keepNext/>
        <w:jc w:val="both"/>
        <w:rPr>
          <w:rFonts w:ascii="Times New Roman" w:hAnsi="Times New Roman" w:cs="Times New Roman"/>
          <w:bCs/>
          <w:i/>
          <w:sz w:val="24"/>
          <w:szCs w:val="24"/>
          <w:lang w:val="en-AU"/>
        </w:rPr>
      </w:pPr>
    </w:p>
    <w:p w14:paraId="290583F9" w14:textId="77777777" w:rsidR="0078185C" w:rsidRDefault="0078185C">
      <w:pPr>
        <w:pStyle w:val="PlainText"/>
        <w:keepNext/>
        <w:jc w:val="both"/>
        <w:rPr>
          <w:rFonts w:ascii="Times New Roman" w:hAnsi="Times New Roman" w:cs="Times New Roman"/>
          <w:bCs/>
          <w:i/>
          <w:sz w:val="24"/>
          <w:szCs w:val="24"/>
          <w:lang w:val="en-AU"/>
        </w:rPr>
      </w:pPr>
    </w:p>
    <w:p w14:paraId="68F21D90" w14:textId="77777777" w:rsidR="0078185C" w:rsidRDefault="0078185C">
      <w:pPr>
        <w:jc w:val="both"/>
        <w:rPr>
          <w:lang w:val="en-AU"/>
        </w:rPr>
      </w:pPr>
    </w:p>
    <w:p w14:paraId="13C326F3" w14:textId="77777777" w:rsidR="0078185C" w:rsidRDefault="0078185C">
      <w:pPr>
        <w:ind w:firstLine="720"/>
        <w:jc w:val="both"/>
        <w:rPr>
          <w:b/>
          <w:i/>
        </w:rPr>
      </w:pPr>
    </w:p>
    <w:p w14:paraId="4853B841" w14:textId="77777777" w:rsidR="0078185C" w:rsidRDefault="0078185C">
      <w:pPr>
        <w:jc w:val="both"/>
        <w:rPr>
          <w:b/>
          <w:i/>
        </w:rPr>
      </w:pPr>
    </w:p>
    <w:p w14:paraId="50125231" w14:textId="77777777" w:rsidR="0078185C" w:rsidRDefault="0078185C">
      <w:pPr>
        <w:jc w:val="both"/>
        <w:rPr>
          <w:b/>
          <w:i/>
        </w:rPr>
      </w:pPr>
    </w:p>
    <w:p w14:paraId="5A25747A" w14:textId="77777777" w:rsidR="0078185C" w:rsidRDefault="0078185C">
      <w:pPr>
        <w:jc w:val="both"/>
        <w:rPr>
          <w:b/>
          <w:i/>
        </w:rPr>
      </w:pPr>
    </w:p>
    <w:p w14:paraId="09B8D95D" w14:textId="77777777" w:rsidR="0078185C" w:rsidRDefault="0078185C">
      <w:pPr>
        <w:jc w:val="both"/>
        <w:rPr>
          <w:b/>
          <w:i/>
        </w:rPr>
      </w:pPr>
    </w:p>
    <w:p w14:paraId="78BEFD2A" w14:textId="77777777" w:rsidR="0078185C" w:rsidRDefault="0078185C">
      <w:pPr>
        <w:jc w:val="both"/>
        <w:rPr>
          <w:b/>
          <w:i/>
        </w:rPr>
      </w:pPr>
    </w:p>
    <w:p w14:paraId="27A76422" w14:textId="77777777" w:rsidR="0078185C" w:rsidRDefault="0078185C">
      <w:pPr>
        <w:jc w:val="both"/>
        <w:rPr>
          <w:b/>
          <w:i/>
        </w:rPr>
      </w:pPr>
    </w:p>
    <w:p w14:paraId="49206A88" w14:textId="77777777" w:rsidR="0078185C" w:rsidRDefault="0078185C">
      <w:pPr>
        <w:jc w:val="both"/>
        <w:rPr>
          <w:b/>
          <w:i/>
        </w:rPr>
      </w:pPr>
    </w:p>
    <w:p w14:paraId="67B7A70C" w14:textId="77777777" w:rsidR="0078185C" w:rsidRDefault="0078185C">
      <w:pPr>
        <w:jc w:val="both"/>
        <w:rPr>
          <w:b/>
          <w:i/>
        </w:rPr>
      </w:pPr>
    </w:p>
    <w:p w14:paraId="71887C79" w14:textId="77777777" w:rsidR="0078185C" w:rsidRDefault="0078185C">
      <w:pPr>
        <w:jc w:val="both"/>
        <w:rPr>
          <w:b/>
          <w:i/>
        </w:rPr>
      </w:pPr>
    </w:p>
    <w:p w14:paraId="3B7FD67C" w14:textId="77777777" w:rsidR="0078185C" w:rsidRDefault="0078185C">
      <w:pPr>
        <w:jc w:val="both"/>
        <w:rPr>
          <w:b/>
          <w:i/>
        </w:rPr>
      </w:pPr>
    </w:p>
    <w:p w14:paraId="38D6B9B6" w14:textId="77777777" w:rsidR="0078185C" w:rsidRDefault="0078185C">
      <w:pPr>
        <w:jc w:val="both"/>
        <w:rPr>
          <w:b/>
          <w:i/>
        </w:rPr>
      </w:pPr>
    </w:p>
    <w:p w14:paraId="22F860BB" w14:textId="77777777" w:rsidR="0078185C" w:rsidRDefault="0078185C">
      <w:pPr>
        <w:jc w:val="both"/>
        <w:rPr>
          <w:b/>
          <w:i/>
        </w:rPr>
      </w:pPr>
    </w:p>
    <w:p w14:paraId="698536F5" w14:textId="77777777" w:rsidR="0078185C" w:rsidRDefault="0078185C">
      <w:pPr>
        <w:jc w:val="both"/>
        <w:rPr>
          <w:b/>
          <w:i/>
        </w:rPr>
      </w:pPr>
    </w:p>
    <w:p w14:paraId="7BC1BAF2" w14:textId="29FF6B4F" w:rsidR="0078185C" w:rsidRDefault="0078185C">
      <w:pPr>
        <w:jc w:val="both"/>
        <w:rPr>
          <w:b/>
          <w:i/>
        </w:rPr>
      </w:pPr>
    </w:p>
    <w:p w14:paraId="04079CC7" w14:textId="77777777" w:rsidR="00D247F4" w:rsidRDefault="00D247F4">
      <w:pPr>
        <w:jc w:val="both"/>
        <w:rPr>
          <w:b/>
          <w:i/>
        </w:rPr>
      </w:pPr>
    </w:p>
    <w:p w14:paraId="768E5814" w14:textId="7E9FD5D3" w:rsidR="00D247F4" w:rsidRDefault="00D247F4">
      <w:pPr>
        <w:jc w:val="both"/>
        <w:rPr>
          <w:b/>
          <w:i/>
        </w:rPr>
      </w:pPr>
    </w:p>
    <w:p w14:paraId="3A3DA530" w14:textId="6BF022EF" w:rsidR="0078185C" w:rsidRDefault="00D247F4">
      <w:pPr>
        <w:jc w:val="both"/>
        <w:rPr>
          <w:b/>
          <w:i/>
        </w:rPr>
      </w:pPr>
      <w:r>
        <w:rPr>
          <w:b/>
          <w:i/>
          <w:noProof/>
        </w:rPr>
        <w:lastRenderedPageBreak/>
        <w:drawing>
          <wp:anchor distT="0" distB="0" distL="0" distR="0" simplePos="0" relativeHeight="24" behindDoc="0" locked="0" layoutInCell="1" allowOverlap="1" wp14:anchorId="3BCE053D" wp14:editId="35F4ECCA">
            <wp:simplePos x="0" y="0"/>
            <wp:positionH relativeFrom="column">
              <wp:posOffset>-41910</wp:posOffset>
            </wp:positionH>
            <wp:positionV relativeFrom="paragraph">
              <wp:posOffset>-86164</wp:posOffset>
            </wp:positionV>
            <wp:extent cx="4037330" cy="3578860"/>
            <wp:effectExtent l="0" t="0" r="0" b="0"/>
            <wp:wrapNone/>
            <wp:docPr id="43" name="Picture 17"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7" descr="Graphical user interface, application, PowerPoint&#10;&#10;Description automatically generated"/>
                    <pic:cNvPicPr>
                      <a:picLocks noChangeAspect="1" noChangeArrowheads="1"/>
                    </pic:cNvPicPr>
                  </pic:nvPicPr>
                  <pic:blipFill>
                    <a:blip r:embed="rId29"/>
                    <a:stretch>
                      <a:fillRect/>
                    </a:stretch>
                  </pic:blipFill>
                  <pic:spPr bwMode="auto">
                    <a:xfrm>
                      <a:off x="0" y="0"/>
                      <a:ext cx="4037330" cy="3578860"/>
                    </a:xfrm>
                    <a:prstGeom prst="rect">
                      <a:avLst/>
                    </a:prstGeom>
                  </pic:spPr>
                </pic:pic>
              </a:graphicData>
            </a:graphic>
          </wp:anchor>
        </w:drawing>
      </w:r>
      <w:r>
        <w:rPr>
          <w:b/>
          <w:i/>
          <w:noProof/>
        </w:rPr>
        <mc:AlternateContent>
          <mc:Choice Requires="wps">
            <w:drawing>
              <wp:anchor distT="0" distB="0" distL="0" distR="0" simplePos="0" relativeHeight="27" behindDoc="0" locked="0" layoutInCell="1" allowOverlap="1" wp14:anchorId="4FDBFC6B" wp14:editId="1E0204EC">
                <wp:simplePos x="0" y="0"/>
                <wp:positionH relativeFrom="column">
                  <wp:posOffset>4041140</wp:posOffset>
                </wp:positionH>
                <wp:positionV relativeFrom="paragraph">
                  <wp:posOffset>-165833</wp:posOffset>
                </wp:positionV>
                <wp:extent cx="2032908" cy="3812721"/>
                <wp:effectExtent l="0" t="0" r="12065" b="10160"/>
                <wp:wrapNone/>
                <wp:docPr id="41" name="Text Box 23"/>
                <wp:cNvGraphicFramePr/>
                <a:graphic xmlns:a="http://schemas.openxmlformats.org/drawingml/2006/main">
                  <a:graphicData uri="http://schemas.microsoft.com/office/word/2010/wordprocessingShape">
                    <wps:wsp>
                      <wps:cNvSpPr/>
                      <wps:spPr>
                        <a:xfrm>
                          <a:off x="0" y="0"/>
                          <a:ext cx="2032908" cy="3812721"/>
                        </a:xfrm>
                        <a:prstGeom prst="rect">
                          <a:avLst/>
                        </a:prstGeom>
                        <a:solidFill>
                          <a:schemeClr val="lt1"/>
                        </a:solidFill>
                        <a:ln w="6480">
                          <a:solidFill>
                            <a:srgbClr val="000000"/>
                          </a:solidFill>
                          <a:round/>
                        </a:ln>
                      </wps:spPr>
                      <wps:style>
                        <a:lnRef idx="0">
                          <a:scrgbClr r="0" g="0" b="0"/>
                        </a:lnRef>
                        <a:fillRef idx="0">
                          <a:scrgbClr r="0" g="0" b="0"/>
                        </a:fillRef>
                        <a:effectRef idx="0">
                          <a:scrgbClr r="0" g="0" b="0"/>
                        </a:effectRef>
                        <a:fontRef idx="minor"/>
                      </wps:style>
                      <wps:txbx>
                        <w:txbxContent>
                          <w:p w14:paraId="4B1B5C30" w14:textId="77777777" w:rsidR="0078185C" w:rsidRDefault="00000000" w:rsidP="00D247F4">
                            <w:pPr>
                              <w:pStyle w:val="PlainText"/>
                              <w:keepNext/>
                              <w:jc w:val="both"/>
                              <w:rPr>
                                <w:rFonts w:ascii="Times New Roman" w:hAnsi="Times New Roman" w:cs="Times New Roman"/>
                                <w:bCs/>
                                <w:i/>
                                <w:sz w:val="24"/>
                                <w:szCs w:val="24"/>
                                <w:lang w:val="en-AU"/>
                              </w:rPr>
                            </w:pPr>
                            <w:r>
                              <w:rPr>
                                <w:rFonts w:ascii="Times New Roman" w:hAnsi="Times New Roman" w:cs="Times New Roman"/>
                                <w:b/>
                                <w:bCs/>
                                <w:i/>
                                <w:color w:val="000000"/>
                                <w:sz w:val="24"/>
                                <w:szCs w:val="24"/>
                                <w:lang w:val="en-AU"/>
                              </w:rPr>
                              <w:t xml:space="preserve">Figure 2.7. </w:t>
                            </w:r>
                            <w:r>
                              <w:rPr>
                                <w:rFonts w:ascii="Times New Roman" w:hAnsi="Times New Roman" w:cs="Times New Roman"/>
                                <w:bCs/>
                                <w:i/>
                                <w:color w:val="000000"/>
                                <w:sz w:val="24"/>
                                <w:szCs w:val="24"/>
                                <w:lang w:val="en-AU"/>
                              </w:rPr>
                              <w:t xml:space="preserve">Comparisons annual total GPP from the forward VNP17A3 (upper panel, </w:t>
                            </w:r>
                            <w:r w:rsidRPr="00D247F4">
                              <w:rPr>
                                <w:rFonts w:ascii="Times New Roman" w:hAnsi="Times New Roman" w:cs="Times New Roman"/>
                                <w:bCs/>
                                <w:i/>
                                <w:color w:val="000000"/>
                                <w:sz w:val="24"/>
                                <w:szCs w:val="24"/>
                                <w:u w:val="single"/>
                                <w:lang w:val="en-AU"/>
                              </w:rPr>
                              <w:t>note that we won’t produce and release forward annual VNP17A3 data products but just gap-filled VNP17A3GF</w:t>
                            </w:r>
                            <w:r>
                              <w:rPr>
                                <w:rFonts w:ascii="Times New Roman" w:hAnsi="Times New Roman" w:cs="Times New Roman"/>
                                <w:bCs/>
                                <w:i/>
                                <w:color w:val="000000"/>
                                <w:sz w:val="24"/>
                                <w:szCs w:val="24"/>
                                <w:lang w:val="en-AU"/>
                              </w:rPr>
                              <w:t xml:space="preserve">) and year-end gap-filled VNP17A3GF (bottom panel) for two tiles.  The closeness of the two estimated results indicates the effectiveness of using combined FPAR as input for the forward data products.  Gap-filled is still the final choice at the end of the year because gap-filled FPAR/LAI contain more realistic vegetation dynamics for the 8-day in that year. </w:t>
                            </w:r>
                          </w:p>
                          <w:p w14:paraId="61C988F9" w14:textId="77777777" w:rsidR="0078185C" w:rsidRDefault="0078185C">
                            <w:pPr>
                              <w:pStyle w:val="FrameContents"/>
                              <w:rPr>
                                <w:color w:val="00000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FDBFC6B" id="Text Box 23" o:spid="_x0000_s1033" style="position:absolute;left:0;text-align:left;margin-left:318.2pt;margin-top:-13.05pt;width:160.05pt;height:300.2pt;z-index:27;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" fillcolor="white [3201]" strokeweight=".18mm">
                <v:stroke joinstyle="round"/>
                <v:textbox>
                  <w:txbxContent>
                    <w:p w14:paraId="4B1B5C30" w14:textId="77777777" w:rsidR="0078185C" w:rsidRDefault="00000000" w:rsidP="00D247F4">
                      <w:pPr>
                        <w:pStyle w:val="PlainText"/>
                        <w:keepNext/>
                        <w:jc w:val="both"/>
                        <w:rPr>
                          <w:rFonts w:ascii="Times New Roman" w:hAnsi="Times New Roman" w:cs="Times New Roman"/>
                          <w:bCs/>
                          <w:i/>
                          <w:sz w:val="24"/>
                          <w:szCs w:val="24"/>
                          <w:lang w:val="en-AU"/>
                        </w:rPr>
                      </w:pPr>
                      <w:r>
                        <w:rPr>
                          <w:rFonts w:ascii="Times New Roman" w:hAnsi="Times New Roman" w:cs="Times New Roman"/>
                          <w:b/>
                          <w:bCs/>
                          <w:i/>
                          <w:color w:val="000000"/>
                          <w:sz w:val="24"/>
                          <w:szCs w:val="24"/>
                          <w:lang w:val="en-AU"/>
                        </w:rPr>
                        <w:t xml:space="preserve">Figure 2.7. </w:t>
                      </w:r>
                      <w:r>
                        <w:rPr>
                          <w:rFonts w:ascii="Times New Roman" w:hAnsi="Times New Roman" w:cs="Times New Roman"/>
                          <w:bCs/>
                          <w:i/>
                          <w:color w:val="000000"/>
                          <w:sz w:val="24"/>
                          <w:szCs w:val="24"/>
                          <w:lang w:val="en-AU"/>
                        </w:rPr>
                        <w:t xml:space="preserve">Comparisons annual total GPP from the forward VNP17A3 (upper panel, </w:t>
                      </w:r>
                      <w:r w:rsidRPr="00D247F4">
                        <w:rPr>
                          <w:rFonts w:ascii="Times New Roman" w:hAnsi="Times New Roman" w:cs="Times New Roman"/>
                          <w:bCs/>
                          <w:i/>
                          <w:color w:val="000000"/>
                          <w:sz w:val="24"/>
                          <w:szCs w:val="24"/>
                          <w:u w:val="single"/>
                          <w:lang w:val="en-AU"/>
                        </w:rPr>
                        <w:t>note that we won’t produce and release forward annual VNP17A3 data products but just gap-filled VNP17A3GF</w:t>
                      </w:r>
                      <w:r>
                        <w:rPr>
                          <w:rFonts w:ascii="Times New Roman" w:hAnsi="Times New Roman" w:cs="Times New Roman"/>
                          <w:bCs/>
                          <w:i/>
                          <w:color w:val="000000"/>
                          <w:sz w:val="24"/>
                          <w:szCs w:val="24"/>
                          <w:lang w:val="en-AU"/>
                        </w:rPr>
                        <w:t xml:space="preserve">) and year-end gap-filled VNP17A3GF (bottom panel) for two tiles.  The closeness of the two estimated results indicates the effectiveness of using combined FPAR as input for the forward data products.  Gap-filled is still the final choice at the end of the year because gap-filled FPAR/LAI contain more realistic vegetation dynamics for the 8-day in that year. </w:t>
                      </w:r>
                    </w:p>
                    <w:p w14:paraId="61C988F9" w14:textId="77777777" w:rsidR="0078185C" w:rsidRDefault="0078185C">
                      <w:pPr>
                        <w:pStyle w:val="FrameContents"/>
                        <w:rPr>
                          <w:color w:val="000000"/>
                        </w:rPr>
                      </w:pPr>
                    </w:p>
                  </w:txbxContent>
                </v:textbox>
              </v:rect>
            </w:pict>
          </mc:Fallback>
        </mc:AlternateContent>
      </w:r>
    </w:p>
    <w:p w14:paraId="17B246DD" w14:textId="7A6E1D8E" w:rsidR="0078185C" w:rsidRDefault="0078185C">
      <w:pPr>
        <w:jc w:val="both"/>
        <w:rPr>
          <w:b/>
          <w:i/>
        </w:rPr>
      </w:pPr>
    </w:p>
    <w:p w14:paraId="6BF89DA3" w14:textId="77777777" w:rsidR="0078185C" w:rsidRDefault="0078185C">
      <w:pPr>
        <w:jc w:val="both"/>
        <w:rPr>
          <w:b/>
          <w:i/>
        </w:rPr>
      </w:pPr>
    </w:p>
    <w:p w14:paraId="5C3E0E74" w14:textId="77777777" w:rsidR="0078185C" w:rsidRDefault="0078185C">
      <w:pPr>
        <w:jc w:val="both"/>
        <w:rPr>
          <w:b/>
          <w:i/>
        </w:rPr>
      </w:pPr>
    </w:p>
    <w:p w14:paraId="66A1FAB9" w14:textId="77777777" w:rsidR="0078185C" w:rsidRDefault="0078185C">
      <w:pPr>
        <w:jc w:val="both"/>
        <w:rPr>
          <w:b/>
          <w:i/>
        </w:rPr>
      </w:pPr>
    </w:p>
    <w:p w14:paraId="76BB753C" w14:textId="77777777" w:rsidR="0078185C" w:rsidRDefault="0078185C">
      <w:pPr>
        <w:jc w:val="both"/>
        <w:rPr>
          <w:b/>
          <w:i/>
        </w:rPr>
      </w:pPr>
    </w:p>
    <w:p w14:paraId="513DA1E0" w14:textId="77777777" w:rsidR="0078185C" w:rsidRDefault="0078185C">
      <w:pPr>
        <w:jc w:val="both"/>
        <w:rPr>
          <w:b/>
          <w:i/>
        </w:rPr>
      </w:pPr>
    </w:p>
    <w:p w14:paraId="75CAC6F5" w14:textId="77777777" w:rsidR="0078185C" w:rsidRDefault="0078185C">
      <w:pPr>
        <w:jc w:val="both"/>
        <w:rPr>
          <w:b/>
          <w:i/>
        </w:rPr>
      </w:pPr>
    </w:p>
    <w:p w14:paraId="66060428" w14:textId="77777777" w:rsidR="0078185C" w:rsidRDefault="0078185C">
      <w:pPr>
        <w:jc w:val="both"/>
        <w:rPr>
          <w:b/>
          <w:i/>
        </w:rPr>
      </w:pPr>
    </w:p>
    <w:p w14:paraId="1D0656FE" w14:textId="77777777" w:rsidR="0078185C" w:rsidRDefault="0078185C">
      <w:pPr>
        <w:jc w:val="both"/>
        <w:rPr>
          <w:b/>
          <w:i/>
        </w:rPr>
      </w:pPr>
    </w:p>
    <w:p w14:paraId="7B37605A" w14:textId="77777777" w:rsidR="0078185C" w:rsidRDefault="0078185C">
      <w:pPr>
        <w:jc w:val="both"/>
        <w:rPr>
          <w:b/>
          <w:i/>
        </w:rPr>
      </w:pPr>
    </w:p>
    <w:p w14:paraId="394798F2" w14:textId="77777777" w:rsidR="0078185C" w:rsidRDefault="0078185C">
      <w:pPr>
        <w:jc w:val="both"/>
        <w:rPr>
          <w:b/>
          <w:i/>
        </w:rPr>
      </w:pPr>
    </w:p>
    <w:p w14:paraId="3889A505" w14:textId="77777777" w:rsidR="0078185C" w:rsidRDefault="0078185C">
      <w:pPr>
        <w:jc w:val="both"/>
        <w:rPr>
          <w:b/>
          <w:i/>
        </w:rPr>
      </w:pPr>
    </w:p>
    <w:p w14:paraId="29079D35" w14:textId="77777777" w:rsidR="0078185C" w:rsidRDefault="0078185C">
      <w:pPr>
        <w:jc w:val="both"/>
        <w:rPr>
          <w:b/>
          <w:i/>
        </w:rPr>
      </w:pPr>
    </w:p>
    <w:p w14:paraId="17686DC7" w14:textId="77777777" w:rsidR="0078185C" w:rsidRDefault="0078185C">
      <w:pPr>
        <w:jc w:val="both"/>
        <w:rPr>
          <w:b/>
          <w:i/>
        </w:rPr>
      </w:pPr>
    </w:p>
    <w:p w14:paraId="53BD644D" w14:textId="77777777" w:rsidR="0078185C" w:rsidRDefault="0078185C">
      <w:pPr>
        <w:jc w:val="both"/>
        <w:rPr>
          <w:b/>
          <w:i/>
        </w:rPr>
      </w:pPr>
    </w:p>
    <w:p w14:paraId="1A3FAC43" w14:textId="77777777" w:rsidR="0078185C" w:rsidRDefault="0078185C">
      <w:pPr>
        <w:jc w:val="both"/>
        <w:rPr>
          <w:b/>
          <w:i/>
        </w:rPr>
      </w:pPr>
    </w:p>
    <w:p w14:paraId="2BBD94B2" w14:textId="77777777" w:rsidR="0078185C" w:rsidRDefault="0078185C">
      <w:pPr>
        <w:jc w:val="both"/>
        <w:rPr>
          <w:b/>
          <w:i/>
        </w:rPr>
      </w:pPr>
    </w:p>
    <w:p w14:paraId="5854DE7F" w14:textId="77777777" w:rsidR="0078185C" w:rsidRDefault="0078185C">
      <w:pPr>
        <w:jc w:val="both"/>
        <w:rPr>
          <w:b/>
          <w:i/>
        </w:rPr>
      </w:pPr>
    </w:p>
    <w:p w14:paraId="2CA7ADD4" w14:textId="77777777" w:rsidR="0078185C" w:rsidRDefault="0078185C">
      <w:pPr>
        <w:jc w:val="both"/>
        <w:rPr>
          <w:b/>
          <w:i/>
        </w:rPr>
      </w:pPr>
    </w:p>
    <w:p w14:paraId="314EE24A" w14:textId="77777777" w:rsidR="0078185C" w:rsidRDefault="0078185C">
      <w:pPr>
        <w:jc w:val="both"/>
        <w:rPr>
          <w:b/>
          <w:i/>
        </w:rPr>
      </w:pPr>
    </w:p>
    <w:p w14:paraId="2AA02878" w14:textId="05A17C20" w:rsidR="0078185C" w:rsidRDefault="00000000">
      <w:pPr>
        <w:pStyle w:val="Heading2"/>
        <w:rPr>
          <w:i/>
        </w:rPr>
      </w:pPr>
      <w:bookmarkStart w:id="19" w:name="_Toc181041990"/>
      <w:r>
        <w:t>2.</w:t>
      </w:r>
      <w:r w:rsidR="00095AFE">
        <w:t>6</w:t>
      </w:r>
      <w:r>
        <w:t>. GMAO daily meteorological data</w:t>
      </w:r>
      <w:bookmarkEnd w:id="19"/>
    </w:p>
    <w:p w14:paraId="1F9B4A41" w14:textId="023D6D9B" w:rsidR="0078185C" w:rsidRDefault="00000000">
      <w:pPr>
        <w:pStyle w:val="BodyTextIndent"/>
        <w:ind w:firstLine="720"/>
        <w:jc w:val="both"/>
      </w:pPr>
      <w:r w:rsidRPr="00977C54">
        <w:rPr>
          <w:rFonts w:ascii="Times New Roman" w:hAnsi="Times New Roman"/>
        </w:rPr>
        <w:t xml:space="preserve">The VNP17 algorithm computes productivity at a daily time step. This is made possible by the daily global meteorological reanalysis data, including average and minimum air temperature, </w:t>
      </w:r>
      <w:r w:rsidR="00972B56">
        <w:rPr>
          <w:rFonts w:ascii="Times New Roman" w:hAnsi="Times New Roman"/>
        </w:rPr>
        <w:t>downward solar radiation,</w:t>
      </w:r>
      <w:r w:rsidRPr="00977C54">
        <w:rPr>
          <w:rFonts w:ascii="Times New Roman" w:hAnsi="Times New Roman"/>
        </w:rPr>
        <w:t xml:space="preserve"> and </w:t>
      </w:r>
      <w:r w:rsidR="00972B56">
        <w:rPr>
          <w:rFonts w:ascii="Times New Roman" w:hAnsi="Times New Roman"/>
        </w:rPr>
        <w:t xml:space="preserve">surface air pressure and </w:t>
      </w:r>
      <w:r w:rsidRPr="00977C54">
        <w:rPr>
          <w:rFonts w:ascii="Times New Roman" w:hAnsi="Times New Roman"/>
        </w:rPr>
        <w:t>specific humidity, provided by the GMAO/NASA GEOS-5 data assimilation system (</w:t>
      </w:r>
      <w:proofErr w:type="spellStart"/>
      <w:r w:rsidRPr="00977C54">
        <w:rPr>
          <w:rFonts w:ascii="Times New Roman" w:hAnsi="Times New Roman"/>
        </w:rPr>
        <w:t>Rienecker</w:t>
      </w:r>
      <w:proofErr w:type="spellEnd"/>
      <w:r w:rsidRPr="00977C54">
        <w:rPr>
          <w:rFonts w:ascii="Times New Roman" w:hAnsi="Times New Roman"/>
        </w:rPr>
        <w:t xml:space="preserve"> et al. 2008)</w:t>
      </w:r>
      <w:r>
        <w:rPr>
          <w:rFonts w:ascii="Times New Roman" w:hAnsi="Times New Roman"/>
        </w:rPr>
        <w:t xml:space="preserve"> at hourly time steps and with approximately 0.5-degree resolution</w:t>
      </w:r>
      <w:r w:rsidRPr="00977C54">
        <w:rPr>
          <w:rFonts w:ascii="Times New Roman" w:hAnsi="Times New Roman"/>
        </w:rPr>
        <w:t>. We aggregated hourly</w:t>
      </w:r>
      <w:r>
        <w:rPr>
          <w:rFonts w:ascii="Times New Roman" w:hAnsi="Times New Roman"/>
        </w:rPr>
        <w:t xml:space="preserve"> meteorological</w:t>
      </w:r>
      <w:r w:rsidRPr="00977C54">
        <w:rPr>
          <w:rFonts w:ascii="Times New Roman" w:hAnsi="Times New Roman"/>
        </w:rPr>
        <w:t xml:space="preserve"> data to daily</w:t>
      </w:r>
      <w:r>
        <w:rPr>
          <w:rFonts w:ascii="Times New Roman" w:hAnsi="Times New Roman"/>
        </w:rPr>
        <w:t xml:space="preserve"> time steps</w:t>
      </w:r>
      <w:r w:rsidR="006B33A0">
        <w:rPr>
          <w:rFonts w:ascii="Times New Roman" w:hAnsi="Times New Roman"/>
        </w:rPr>
        <w:t xml:space="preserve"> </w:t>
      </w:r>
      <w:r>
        <w:rPr>
          <w:rFonts w:ascii="Times New Roman" w:hAnsi="Times New Roman"/>
        </w:rPr>
        <w:t>for use in VNP17</w:t>
      </w:r>
      <w:r w:rsidRPr="00977C54">
        <w:rPr>
          <w:rFonts w:ascii="Times New Roman" w:hAnsi="Times New Roman"/>
        </w:rPr>
        <w:t>. For VPD, we us</w:t>
      </w:r>
      <w:r>
        <w:rPr>
          <w:rFonts w:ascii="Times New Roman" w:hAnsi="Times New Roman"/>
        </w:rPr>
        <w:t>e</w:t>
      </w:r>
      <w:r w:rsidRPr="00977C54">
        <w:rPr>
          <w:rFonts w:ascii="Times New Roman" w:hAnsi="Times New Roman"/>
        </w:rPr>
        <w:t xml:space="preserve"> daytime</w:t>
      </w:r>
      <w:r>
        <w:rPr>
          <w:rFonts w:ascii="Times New Roman" w:hAnsi="Times New Roman"/>
        </w:rPr>
        <w:t xml:space="preserve"> (sun-up)</w:t>
      </w:r>
      <w:r w:rsidRPr="00977C54">
        <w:rPr>
          <w:rFonts w:ascii="Times New Roman" w:hAnsi="Times New Roman"/>
        </w:rPr>
        <w:t xml:space="preserve"> VPD</w:t>
      </w:r>
      <w:r>
        <w:rPr>
          <w:rFonts w:ascii="Times New Roman" w:hAnsi="Times New Roman"/>
        </w:rPr>
        <w:t xml:space="preserve"> to accurately reflect conditions when</w:t>
      </w:r>
      <w:r w:rsidRPr="00977C54">
        <w:rPr>
          <w:rFonts w:ascii="Times New Roman" w:hAnsi="Times New Roman"/>
        </w:rPr>
        <w:t xml:space="preserve"> photosynthesis </w:t>
      </w:r>
      <w:r>
        <w:rPr>
          <w:rFonts w:ascii="Times New Roman" w:hAnsi="Times New Roman"/>
        </w:rPr>
        <w:t>occurs</w:t>
      </w:r>
      <w:r w:rsidRPr="00977C54">
        <w:rPr>
          <w:rFonts w:ascii="Times New Roman" w:hAnsi="Times New Roman"/>
        </w:rPr>
        <w:t xml:space="preserve">. Daytime is determined when hourly downward solar radiation is above zero. Daytime VPD is the difference between daytime saturated vapor pressure </w:t>
      </w:r>
      <w:r>
        <w:rPr>
          <w:rFonts w:ascii="Times New Roman" w:hAnsi="Times New Roman"/>
        </w:rPr>
        <w:t>(</w:t>
      </w:r>
      <w:r w:rsidRPr="00977C54">
        <w:rPr>
          <w:rFonts w:ascii="Times New Roman" w:hAnsi="Times New Roman"/>
        </w:rPr>
        <w:t>estimated with daytime average air temperature</w:t>
      </w:r>
      <w:r>
        <w:rPr>
          <w:rFonts w:ascii="Times New Roman" w:hAnsi="Times New Roman"/>
        </w:rPr>
        <w:t>)</w:t>
      </w:r>
      <w:r w:rsidRPr="00977C54">
        <w:rPr>
          <w:rFonts w:ascii="Times New Roman" w:hAnsi="Times New Roman"/>
        </w:rPr>
        <w:t xml:space="preserve"> and </w:t>
      </w:r>
      <w:r>
        <w:rPr>
          <w:rFonts w:ascii="Times New Roman" w:hAnsi="Times New Roman"/>
        </w:rPr>
        <w:t xml:space="preserve">actual </w:t>
      </w:r>
      <w:r w:rsidRPr="00977C54">
        <w:rPr>
          <w:rFonts w:ascii="Times New Roman" w:hAnsi="Times New Roman"/>
        </w:rPr>
        <w:t xml:space="preserve">daily vapor pressure.  Daily vapor pressure is calculated </w:t>
      </w:r>
      <w:r>
        <w:rPr>
          <w:rFonts w:ascii="Times New Roman" w:hAnsi="Times New Roman"/>
        </w:rPr>
        <w:t>using daytime</w:t>
      </w:r>
      <w:r w:rsidRPr="00977C54">
        <w:rPr>
          <w:rFonts w:ascii="Times New Roman" w:hAnsi="Times New Roman"/>
        </w:rPr>
        <w:t xml:space="preserve"> specific humidity and </w:t>
      </w:r>
      <w:r>
        <w:rPr>
          <w:rFonts w:ascii="Times New Roman" w:hAnsi="Times New Roman"/>
        </w:rPr>
        <w:t xml:space="preserve">daytime </w:t>
      </w:r>
      <w:r w:rsidRPr="00977C54">
        <w:rPr>
          <w:rFonts w:ascii="Times New Roman" w:hAnsi="Times New Roman"/>
        </w:rPr>
        <w:t>surface air pressure. GMAO/NASA</w:t>
      </w:r>
      <w:r>
        <w:rPr>
          <w:rFonts w:ascii="Times New Roman" w:hAnsi="Times New Roman"/>
        </w:rPr>
        <w:t xml:space="preserve"> GEOS-5 FP</w:t>
      </w:r>
      <w:r w:rsidR="00C01C7A">
        <w:rPr>
          <w:rFonts w:ascii="Times New Roman" w:hAnsi="Times New Roman"/>
        </w:rPr>
        <w:t>-IT</w:t>
      </w:r>
      <w:r w:rsidRPr="00977C54">
        <w:rPr>
          <w:rFonts w:ascii="Times New Roman" w:hAnsi="Times New Roman"/>
        </w:rPr>
        <w:t xml:space="preserve">, like other global meteorological </w:t>
      </w:r>
      <w:proofErr w:type="spellStart"/>
      <w:r w:rsidRPr="00977C54">
        <w:rPr>
          <w:rFonts w:ascii="Times New Roman" w:hAnsi="Times New Roman"/>
        </w:rPr>
        <w:t>reanalyses</w:t>
      </w:r>
      <w:proofErr w:type="spellEnd"/>
      <w:r w:rsidRPr="00977C54">
        <w:rPr>
          <w:rFonts w:ascii="Times New Roman" w:hAnsi="Times New Roman"/>
        </w:rPr>
        <w:t xml:space="preserve">, </w:t>
      </w:r>
      <w:r>
        <w:rPr>
          <w:rFonts w:ascii="Times New Roman" w:hAnsi="Times New Roman"/>
        </w:rPr>
        <w:t>has</w:t>
      </w:r>
      <w:r w:rsidRPr="00977C54">
        <w:rPr>
          <w:rFonts w:ascii="Times New Roman" w:hAnsi="Times New Roman"/>
        </w:rPr>
        <w:t xml:space="preserve"> uncertainties, especially for regions with poor weather station coverage and small-scale convection processes (mostly in the tropics) which cannot be sufficiently depicted by </w:t>
      </w:r>
      <w:r>
        <w:rPr>
          <w:rFonts w:ascii="Times New Roman" w:hAnsi="Times New Roman"/>
        </w:rPr>
        <w:t xml:space="preserve">the </w:t>
      </w:r>
      <w:r w:rsidRPr="00977C54">
        <w:rPr>
          <w:rFonts w:ascii="Times New Roman" w:hAnsi="Times New Roman"/>
        </w:rPr>
        <w:t>coarse</w:t>
      </w:r>
      <w:r>
        <w:rPr>
          <w:rFonts w:ascii="Times New Roman" w:hAnsi="Times New Roman"/>
        </w:rPr>
        <w:t>-</w:t>
      </w:r>
      <w:r w:rsidRPr="00977C54">
        <w:rPr>
          <w:rFonts w:ascii="Times New Roman" w:hAnsi="Times New Roman"/>
        </w:rPr>
        <w:t xml:space="preserve">resolution meteorological data assimilation system. Therefore, uncertainties in </w:t>
      </w:r>
      <w:r>
        <w:rPr>
          <w:rFonts w:ascii="Times New Roman" w:hAnsi="Times New Roman"/>
        </w:rPr>
        <w:t>GEOS-5</w:t>
      </w:r>
      <w:r w:rsidRPr="00977C54">
        <w:rPr>
          <w:rFonts w:ascii="Times New Roman" w:hAnsi="Times New Roman"/>
        </w:rPr>
        <w:t xml:space="preserve"> and subsequent estimate</w:t>
      </w:r>
      <w:r>
        <w:rPr>
          <w:rFonts w:ascii="Times New Roman" w:hAnsi="Times New Roman"/>
        </w:rPr>
        <w:t>s of</w:t>
      </w:r>
      <w:r w:rsidRPr="00977C54">
        <w:rPr>
          <w:rFonts w:ascii="Times New Roman" w:hAnsi="Times New Roman"/>
        </w:rPr>
        <w:t xml:space="preserve"> GPP/NPP are higher in</w:t>
      </w:r>
      <w:r>
        <w:rPr>
          <w:rFonts w:ascii="Times New Roman" w:hAnsi="Times New Roman"/>
        </w:rPr>
        <w:t xml:space="preserve"> the</w:t>
      </w:r>
      <w:r w:rsidRPr="00977C54">
        <w:rPr>
          <w:rFonts w:ascii="Times New Roman" w:hAnsi="Times New Roman"/>
        </w:rPr>
        <w:t xml:space="preserve"> tropics than</w:t>
      </w:r>
      <w:r>
        <w:rPr>
          <w:rFonts w:ascii="Times New Roman" w:hAnsi="Times New Roman"/>
        </w:rPr>
        <w:t xml:space="preserve"> in</w:t>
      </w:r>
      <w:r w:rsidRPr="00977C54">
        <w:rPr>
          <w:rFonts w:ascii="Times New Roman" w:hAnsi="Times New Roman"/>
        </w:rPr>
        <w:t xml:space="preserve"> non-tropical regions (Zhao et al. 2006).</w:t>
      </w:r>
    </w:p>
    <w:p w14:paraId="134D97EE" w14:textId="2AE3BF4F" w:rsidR="0078185C" w:rsidRDefault="00000000">
      <w:pPr>
        <w:pStyle w:val="BodyTextIndent"/>
        <w:ind w:firstLine="720"/>
        <w:jc w:val="both"/>
      </w:pPr>
      <w:r w:rsidRPr="00977C54">
        <w:rPr>
          <w:rFonts w:ascii="Times New Roman" w:hAnsi="Times New Roman"/>
        </w:rPr>
        <w:t xml:space="preserve">One major problem is the inconsistency in spatial resolution between half-degree </w:t>
      </w:r>
      <w:r>
        <w:rPr>
          <w:rFonts w:ascii="Times New Roman" w:hAnsi="Times New Roman"/>
        </w:rPr>
        <w:t>GEOS-5 FP</w:t>
      </w:r>
      <w:r w:rsidRPr="00977C54">
        <w:rPr>
          <w:rFonts w:ascii="Times New Roman" w:hAnsi="Times New Roman"/>
        </w:rPr>
        <w:t xml:space="preserve"> meteorological data and 500</w:t>
      </w:r>
      <w:r>
        <w:rPr>
          <w:rFonts w:ascii="Times New Roman" w:hAnsi="Times New Roman"/>
        </w:rPr>
        <w:t>-</w:t>
      </w:r>
      <w:r w:rsidRPr="00977C54">
        <w:rPr>
          <w:rFonts w:ascii="Times New Roman" w:hAnsi="Times New Roman"/>
        </w:rPr>
        <w:t>m VIIRS Collection 2 pixel</w:t>
      </w:r>
      <w:r>
        <w:rPr>
          <w:rFonts w:ascii="Times New Roman" w:hAnsi="Times New Roman"/>
        </w:rPr>
        <w:t>s</w:t>
      </w:r>
      <w:r w:rsidRPr="00977C54">
        <w:rPr>
          <w:rFonts w:ascii="Times New Roman" w:hAnsi="Times New Roman"/>
        </w:rPr>
        <w:t xml:space="preserve">. </w:t>
      </w:r>
      <w:r>
        <w:rPr>
          <w:rFonts w:ascii="Times New Roman" w:hAnsi="Times New Roman"/>
        </w:rPr>
        <w:t>To mitigate the appearance of visual artifacts introduced by the coarse-scale meteorological data, we apply</w:t>
      </w:r>
      <w:r w:rsidRPr="00977C54">
        <w:rPr>
          <w:rFonts w:ascii="Times New Roman" w:hAnsi="Times New Roman"/>
        </w:rPr>
        <w:t xml:space="preserve"> spatial smoothing</w:t>
      </w:r>
      <w:r>
        <w:rPr>
          <w:rFonts w:ascii="Times New Roman" w:hAnsi="Times New Roman"/>
        </w:rPr>
        <w:t xml:space="preserve"> to the</w:t>
      </w:r>
      <w:r w:rsidRPr="00977C54">
        <w:rPr>
          <w:rFonts w:ascii="Times New Roman" w:hAnsi="Times New Roman"/>
        </w:rPr>
        <w:t xml:space="preserve"> meteorological data</w:t>
      </w:r>
      <w:r>
        <w:rPr>
          <w:rFonts w:ascii="Times New Roman" w:hAnsi="Times New Roman"/>
        </w:rPr>
        <w:t>,</w:t>
      </w:r>
      <w:r w:rsidRPr="00977C54">
        <w:rPr>
          <w:rFonts w:ascii="Times New Roman" w:hAnsi="Times New Roman"/>
        </w:rPr>
        <w:t xml:space="preserve"> </w:t>
      </w:r>
      <w:r>
        <w:rPr>
          <w:rFonts w:ascii="Times New Roman" w:hAnsi="Times New Roman"/>
        </w:rPr>
        <w:t>prior to its use in VNP</w:t>
      </w:r>
      <w:r w:rsidRPr="00977C54">
        <w:rPr>
          <w:rFonts w:ascii="Times New Roman" w:hAnsi="Times New Roman"/>
        </w:rPr>
        <w:t>17 (Zhao et al., 2005). Prior</w:t>
      </w:r>
      <w:r>
        <w:rPr>
          <w:rFonts w:ascii="Times New Roman" w:hAnsi="Times New Roman"/>
        </w:rPr>
        <w:t xml:space="preserve"> to</w:t>
      </w:r>
      <w:r w:rsidRPr="00977C54">
        <w:rPr>
          <w:rFonts w:ascii="Times New Roman" w:hAnsi="Times New Roman"/>
        </w:rPr>
        <w:t xml:space="preserve"> </w:t>
      </w:r>
      <w:r>
        <w:rPr>
          <w:rFonts w:ascii="Times New Roman" w:hAnsi="Times New Roman"/>
        </w:rPr>
        <w:t xml:space="preserve">MOD17 </w:t>
      </w:r>
      <w:r w:rsidRPr="00977C54">
        <w:rPr>
          <w:rFonts w:ascii="Times New Roman" w:hAnsi="Times New Roman"/>
        </w:rPr>
        <w:t xml:space="preserve">Collection 4.5, all 1-km MODIS pixels located within the same “large” GMAO cell </w:t>
      </w:r>
      <w:r>
        <w:rPr>
          <w:rFonts w:ascii="Times New Roman" w:hAnsi="Times New Roman"/>
        </w:rPr>
        <w:t>used</w:t>
      </w:r>
      <w:r w:rsidRPr="00977C54">
        <w:rPr>
          <w:rFonts w:ascii="Times New Roman" w:hAnsi="Times New Roman"/>
        </w:rPr>
        <w:t xml:space="preserve"> the same meteorological data</w:t>
      </w:r>
      <w:r>
        <w:rPr>
          <w:rFonts w:ascii="Times New Roman" w:hAnsi="Times New Roman"/>
        </w:rPr>
        <w:t>,</w:t>
      </w:r>
      <w:r w:rsidRPr="00977C54">
        <w:rPr>
          <w:rFonts w:ascii="Times New Roman" w:hAnsi="Times New Roman"/>
        </w:rPr>
        <w:t xml:space="preserve"> without spatial variation</w:t>
      </w:r>
      <w:r>
        <w:rPr>
          <w:rFonts w:ascii="Times New Roman" w:hAnsi="Times New Roman"/>
        </w:rPr>
        <w:t xml:space="preserve"> (i.e., a nearest-neighbor sampling)</w:t>
      </w:r>
      <w:r w:rsidRPr="00977C54">
        <w:rPr>
          <w:rFonts w:ascii="Times New Roman" w:hAnsi="Times New Roman"/>
        </w:rPr>
        <w:t xml:space="preserve">. As a result, a </w:t>
      </w:r>
      <w:r w:rsidR="002C1C33">
        <w:rPr>
          <w:rFonts w:ascii="Times New Roman" w:hAnsi="Times New Roman"/>
        </w:rPr>
        <w:t>visual artifact</w:t>
      </w:r>
      <w:r>
        <w:rPr>
          <w:rFonts w:ascii="Times New Roman" w:hAnsi="Times New Roman"/>
        </w:rPr>
        <w:t xml:space="preserve"> on the scale of the GEOS-5 pixels sometimes appeared</w:t>
      </w:r>
      <w:r w:rsidRPr="00977C54">
        <w:rPr>
          <w:rFonts w:ascii="Times New Roman" w:hAnsi="Times New Roman"/>
        </w:rPr>
        <w:t xml:space="preserve"> in 1-km MOD17 images</w:t>
      </w:r>
      <w:r>
        <w:rPr>
          <w:rFonts w:ascii="Times New Roman" w:hAnsi="Times New Roman"/>
        </w:rPr>
        <w:t>,</w:t>
      </w:r>
      <w:r w:rsidRPr="00977C54">
        <w:rPr>
          <w:rFonts w:ascii="Times New Roman" w:hAnsi="Times New Roman"/>
        </w:rPr>
        <w:t xml:space="preserve"> due to relatively steep gradients between </w:t>
      </w:r>
      <w:r>
        <w:rPr>
          <w:rFonts w:ascii="Times New Roman" w:hAnsi="Times New Roman"/>
        </w:rPr>
        <w:t>adjacent pixels</w:t>
      </w:r>
      <w:r w:rsidRPr="00977C54">
        <w:rPr>
          <w:rFonts w:ascii="Times New Roman" w:hAnsi="Times New Roman"/>
        </w:rPr>
        <w:t xml:space="preserve"> (Figure 2.8). Such treatment, on a global or regional scale, </w:t>
      </w:r>
      <w:r w:rsidRPr="00977C54">
        <w:rPr>
          <w:rFonts w:ascii="Times New Roman" w:hAnsi="Times New Roman"/>
        </w:rPr>
        <w:lastRenderedPageBreak/>
        <w:t xml:space="preserve">may be acceptable, while at the local scale, it may introduce inaccurate climatic predictions for some productivity calculations. </w:t>
      </w:r>
    </w:p>
    <w:p w14:paraId="2094EB09" w14:textId="516BD1E4" w:rsidR="0078185C" w:rsidRDefault="00000000">
      <w:pPr>
        <w:jc w:val="both"/>
        <w:rPr>
          <w:b/>
          <w:i/>
        </w:rPr>
      </w:pPr>
      <w:r>
        <w:t>The four GEOS-5 cells nearest a given 500-m VIIRS pixel are used in the interpolation algorithm, which is a non-linear variation on inverse-distance approaches.</w:t>
      </w:r>
      <w:r w:rsidR="00926762">
        <w:t xml:space="preserve"> </w:t>
      </w:r>
      <w:r>
        <w:t xml:space="preserve">We use a modified cosine function, because the output value can be constrained between </w:t>
      </w:r>
      <w:proofErr w:type="gramStart"/>
      <w:r>
        <w:t>0 and 1,</w:t>
      </w:r>
      <w:proofErr w:type="gramEnd"/>
      <w:r>
        <w:t xml:space="preserve"> of the form:</w:t>
      </w:r>
    </w:p>
    <w:p w14:paraId="57590049" w14:textId="77777777" w:rsidR="0078185C" w:rsidRDefault="0078185C">
      <w:pPr>
        <w:rPr>
          <w:b/>
          <w:i/>
        </w:rPr>
      </w:pPr>
    </w:p>
    <w:p w14:paraId="6507356D" w14:textId="0160820A" w:rsidR="0078185C" w:rsidRDefault="00000000">
      <w:pPr>
        <w:rPr>
          <w:b/>
          <w:i/>
        </w:rPr>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m:t>
        </m:r>
        <m:sSup>
          <m:sSupPr>
            <m:ctrlPr>
              <w:rPr>
                <w:rFonts w:ascii="Cambria Math" w:hAnsi="Cambria Math"/>
              </w:rPr>
            </m:ctrlPr>
          </m:sSupPr>
          <m:e>
            <m:r>
              <w:rPr>
                <w:rFonts w:ascii="Cambria Math" w:hAnsi="Cambria Math"/>
              </w:rPr>
              <m:t>cos</m:t>
            </m:r>
          </m:e>
          <m:sup>
            <m:r>
              <w:rPr>
                <w:rFonts w:ascii="Cambria Math" w:hAnsi="Cambria Math"/>
              </w:rPr>
              <m:t>6</m:t>
            </m:r>
          </m:sup>
        </m:sSup>
        <m:d>
          <m:dPr>
            <m:ctrlPr>
              <w:rPr>
                <w:rFonts w:ascii="Cambria Math" w:hAnsi="Cambria Math"/>
              </w:rPr>
            </m:ctrlPr>
          </m:dPr>
          <m:e>
            <m:d>
              <m:dPr>
                <m:ctrlPr>
                  <w:rPr>
                    <w:rFonts w:ascii="Cambria Math" w:hAnsi="Cambria Math"/>
                  </w:rPr>
                </m:ctrlPr>
              </m:dPr>
              <m:e>
                <m:f>
                  <m:fPr>
                    <m:type m:val="lin"/>
                    <m:ctrlPr>
                      <w:rPr>
                        <w:rFonts w:ascii="Cambria Math" w:hAnsi="Cambria Math"/>
                      </w:rPr>
                    </m:ctrlPr>
                  </m:fPr>
                  <m:num>
                    <m:r>
                      <w:rPr>
                        <w:rFonts w:ascii="Cambria Math" w:hAnsi="Cambria Math"/>
                      </w:rPr>
                      <m:t>π</m:t>
                    </m:r>
                  </m:num>
                  <m:den>
                    <m:r>
                      <w:rPr>
                        <w:rFonts w:ascii="Cambria Math" w:hAnsi="Cambria Math"/>
                      </w:rPr>
                      <m:t>2</m:t>
                    </m:r>
                  </m:den>
                </m:f>
              </m:e>
            </m:d>
            <m:r>
              <w:rPr>
                <w:rFonts w:ascii="Cambria Math" w:hAnsi="Cambria Math"/>
              </w:rPr>
              <m:t>*</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i</m:t>
                        </m:r>
                      </m:sub>
                    </m:sSub>
                  </m:num>
                  <m:den>
                    <m:sSub>
                      <m:sSubPr>
                        <m:ctrlPr>
                          <w:rPr>
                            <w:rFonts w:ascii="Cambria Math" w:hAnsi="Cambria Math"/>
                          </w:rPr>
                        </m:ctrlPr>
                      </m:sSubPr>
                      <m:e>
                        <m:r>
                          <w:rPr>
                            <w:rFonts w:ascii="Cambria Math" w:hAnsi="Cambria Math"/>
                          </w:rPr>
                          <m:t>d</m:t>
                        </m:r>
                      </m:e>
                      <m:sub>
                        <m:r>
                          <w:rPr>
                            <w:rFonts w:ascii="Cambria Math" w:hAnsi="Cambria Math"/>
                          </w:rPr>
                          <m:t>max</m:t>
                        </m:r>
                      </m:sub>
                    </m:sSub>
                  </m:den>
                </m:f>
              </m:e>
            </m:d>
          </m:e>
        </m:d>
        <m:r>
          <w:rPr>
            <w:rFonts w:ascii="Cambria Math" w:hAnsi="Cambria Math"/>
          </w:rPr>
          <m:t>i=1,2,3,4</m:t>
        </m:r>
      </m:oMath>
      <w:r w:rsidR="00775511">
        <w:t xml:space="preserve"> </w:t>
      </w:r>
      <w:r w:rsidR="00775511">
        <w:tab/>
      </w:r>
      <w:r w:rsidR="00775511">
        <w:tab/>
      </w:r>
      <w:r w:rsidR="00775511">
        <w:tab/>
      </w:r>
      <w:r w:rsidR="004469E0">
        <w:tab/>
      </w:r>
      <w:r w:rsidR="00775511">
        <w:tab/>
      </w:r>
      <w:r w:rsidR="007E3FD4">
        <w:tab/>
      </w:r>
      <w:r w:rsidR="00775511" w:rsidRPr="007E3FD4">
        <w:rPr>
          <w:b/>
          <w:bCs/>
        </w:rPr>
        <w:t>(2.1)</w:t>
      </w:r>
    </w:p>
    <w:p w14:paraId="0C5B615A" w14:textId="77777777" w:rsidR="0078185C" w:rsidRDefault="0078185C">
      <w:pPr>
        <w:jc w:val="both"/>
        <w:rPr>
          <w:b/>
          <w:i/>
        </w:rPr>
      </w:pPr>
    </w:p>
    <w:p w14:paraId="1635EC1A" w14:textId="53D5507F" w:rsidR="0078185C" w:rsidRDefault="00000000">
      <w:pPr>
        <w:jc w:val="both"/>
        <w:rPr>
          <w:b/>
          <w:i/>
        </w:rPr>
      </w:pPr>
      <w:r>
        <w:t xml:space="preserve">where, </w:t>
      </w:r>
      <w:r>
        <w:rPr>
          <w:i/>
        </w:rPr>
        <w:t>D</w:t>
      </w:r>
      <w:r>
        <w:rPr>
          <w:i/>
          <w:vertAlign w:val="subscript"/>
        </w:rPr>
        <w:t>i</w:t>
      </w:r>
      <w:r>
        <w:t xml:space="preserve"> is the non-linear distance between the 500-m MODIS pixel and any one of four surrounding GEOS-5 cells; d</w:t>
      </w:r>
      <w:r>
        <w:rPr>
          <w:vertAlign w:val="subscript"/>
        </w:rPr>
        <w:t>i</w:t>
      </w:r>
      <w:r>
        <w:t xml:space="preserve"> is the great-circle distance between the 500-m pixel and the same GEOS-5 cell; and </w:t>
      </w:r>
      <w:proofErr w:type="spellStart"/>
      <w:r>
        <w:rPr>
          <w:i/>
        </w:rPr>
        <w:t>d</w:t>
      </w:r>
      <w:r>
        <w:rPr>
          <w:i/>
          <w:vertAlign w:val="subscript"/>
        </w:rPr>
        <w:t>max</w:t>
      </w:r>
      <w:proofErr w:type="spellEnd"/>
      <w:r>
        <w:t xml:space="preserve"> is the great-circle distance between the two farthest GMAO cells of the four being used. This ensures that </w:t>
      </w:r>
      <w:r>
        <w:rPr>
          <w:i/>
        </w:rPr>
        <w:t>D</w:t>
      </w:r>
      <w:r>
        <w:rPr>
          <w:i/>
          <w:vertAlign w:val="subscript"/>
        </w:rPr>
        <w:t>i</w:t>
      </w:r>
      <w:r>
        <w:rPr>
          <w:i/>
        </w:rPr>
        <w:t xml:space="preserve"> = 1</w:t>
      </w:r>
      <w:r>
        <w:t xml:space="preserve"> when </w:t>
      </w:r>
      <w:r>
        <w:rPr>
          <w:i/>
        </w:rPr>
        <w:t>d</w:t>
      </w:r>
      <w:r>
        <w:rPr>
          <w:i/>
          <w:vertAlign w:val="subscript"/>
        </w:rPr>
        <w:t>i</w:t>
      </w:r>
      <w:r>
        <w:rPr>
          <w:i/>
        </w:rPr>
        <w:t xml:space="preserve"> = 0</w:t>
      </w:r>
      <w:r>
        <w:t xml:space="preserve">, and </w:t>
      </w:r>
      <w:r>
        <w:rPr>
          <w:i/>
        </w:rPr>
        <w:t>D</w:t>
      </w:r>
      <w:r>
        <w:rPr>
          <w:i/>
          <w:vertAlign w:val="subscript"/>
        </w:rPr>
        <w:t>i</w:t>
      </w:r>
      <w:r>
        <w:rPr>
          <w:i/>
        </w:rPr>
        <w:t xml:space="preserve"> = 0</w:t>
      </w:r>
      <w:r>
        <w:t xml:space="preserve"> when </w:t>
      </w:r>
      <w:r>
        <w:rPr>
          <w:i/>
        </w:rPr>
        <w:t>d</w:t>
      </w:r>
      <w:r>
        <w:rPr>
          <w:i/>
          <w:vertAlign w:val="subscript"/>
        </w:rPr>
        <w:t>i</w:t>
      </w:r>
      <w:r>
        <w:rPr>
          <w:i/>
        </w:rPr>
        <w:t xml:space="preserve"> = </w:t>
      </w:r>
      <w:proofErr w:type="spellStart"/>
      <w:r>
        <w:rPr>
          <w:i/>
        </w:rPr>
        <w:t>d</w:t>
      </w:r>
      <w:r>
        <w:rPr>
          <w:i/>
          <w:vertAlign w:val="subscript"/>
        </w:rPr>
        <w:t>max</w:t>
      </w:r>
      <w:proofErr w:type="spellEnd"/>
      <w:r>
        <w:t>.  For an earlier version of GEOS-5 data with a much coarser resolution, we used a cosine function raise to the fourth power. We are now using the power 6, as the resolution of the GEOS-5 meteorological data has increased.</w:t>
      </w:r>
    </w:p>
    <w:p w14:paraId="792F1AA2" w14:textId="77777777" w:rsidR="0078185C" w:rsidRDefault="0078185C">
      <w:pPr>
        <w:jc w:val="both"/>
        <w:rPr>
          <w:b/>
          <w:i/>
        </w:rPr>
      </w:pPr>
    </w:p>
    <w:p w14:paraId="6BDA14CD" w14:textId="77777777" w:rsidR="0078185C" w:rsidRDefault="00000000">
      <w:pPr>
        <w:ind w:firstLine="720"/>
        <w:jc w:val="both"/>
        <w:rPr>
          <w:b/>
          <w:i/>
        </w:rPr>
      </w:pPr>
      <w:r>
        <w:t>Based on the non-linear distance (</w:t>
      </w:r>
      <w:r>
        <w:rPr>
          <w:i/>
        </w:rPr>
        <w:t>D</w:t>
      </w:r>
      <w:r>
        <w:rPr>
          <w:i/>
          <w:vertAlign w:val="subscript"/>
        </w:rPr>
        <w:t>i</w:t>
      </w:r>
      <w:r>
        <w:t xml:space="preserve">), the weighted value </w:t>
      </w:r>
      <w:r>
        <w:rPr>
          <w:i/>
        </w:rPr>
        <w:t>W</w:t>
      </w:r>
      <w:r>
        <w:rPr>
          <w:i/>
          <w:vertAlign w:val="subscript"/>
        </w:rPr>
        <w:t>i</w:t>
      </w:r>
      <w:r>
        <w:t xml:space="preserve"> can be expressed as:</w:t>
      </w:r>
    </w:p>
    <w:p w14:paraId="1A499DFC" w14:textId="58B398A1" w:rsidR="0078185C" w:rsidRDefault="0078185C">
      <w:pPr>
        <w:ind w:firstLine="720"/>
        <w:jc w:val="both"/>
        <w:rPr>
          <w:b/>
          <w:i/>
        </w:rPr>
      </w:pPr>
    </w:p>
    <w:p w14:paraId="1761D4FB" w14:textId="477576D6" w:rsidR="0078185C" w:rsidRDefault="00000000">
      <w:pPr>
        <w:ind w:firstLine="720"/>
        <w:jc w:val="both"/>
        <w:rPr>
          <w:b/>
          <w:i/>
        </w:rPr>
      </w:pPr>
      <m:oMath>
        <m:sSub>
          <m:sSubPr>
            <m:ctrlPr>
              <w:rPr>
                <w:rFonts w:ascii="Cambria Math" w:hAnsi="Cambria Math"/>
              </w:rPr>
            </m:ctrlPr>
          </m:sSubPr>
          <m:e>
            <m:r>
              <w:rPr>
                <w:rFonts w:ascii="Cambria Math" w:hAnsi="Cambria Math"/>
              </w:rPr>
              <m:t>W</m:t>
            </m:r>
          </m:e>
          <m:sub>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i</m:t>
                </m:r>
              </m:sub>
            </m:sSub>
          </m:num>
          <m:den>
            <m:nary>
              <m:naryPr>
                <m:chr m:val="∑"/>
                <m:ctrlPr>
                  <w:rPr>
                    <w:rFonts w:ascii="Cambria Math" w:hAnsi="Cambria Math"/>
                  </w:rPr>
                </m:ctrlPr>
              </m:naryPr>
              <m:sub>
                <m:r>
                  <w:rPr>
                    <w:rFonts w:ascii="Cambria Math" w:hAnsi="Cambria Math"/>
                  </w:rPr>
                  <m:t>i=1</m:t>
                </m:r>
              </m:sub>
              <m:sup>
                <m:r>
                  <w:rPr>
                    <w:rFonts w:ascii="Cambria Math" w:hAnsi="Cambria Math"/>
                  </w:rPr>
                  <m:t>4</m:t>
                </m:r>
              </m:sup>
              <m:e>
                <m:sSub>
                  <m:sSubPr>
                    <m:ctrlPr>
                      <w:rPr>
                        <w:rFonts w:ascii="Cambria Math" w:hAnsi="Cambria Math"/>
                      </w:rPr>
                    </m:ctrlPr>
                  </m:sSubPr>
                  <m:e>
                    <m:r>
                      <w:rPr>
                        <w:rFonts w:ascii="Cambria Math" w:hAnsi="Cambria Math"/>
                      </w:rPr>
                      <m:t>D</m:t>
                    </m:r>
                  </m:e>
                  <m:sub>
                    <m:r>
                      <w:rPr>
                        <w:rFonts w:ascii="Cambria Math" w:hAnsi="Cambria Math"/>
                      </w:rPr>
                      <m:t>i</m:t>
                    </m:r>
                  </m:sub>
                </m:sSub>
              </m:e>
            </m:nary>
          </m:den>
        </m:f>
      </m:oMath>
      <w:r>
        <w:t xml:space="preserve">  </w:t>
      </w:r>
      <w:r>
        <w:tab/>
      </w:r>
      <w:r>
        <w:tab/>
      </w:r>
      <w:r>
        <w:tab/>
      </w:r>
      <w:r>
        <w:tab/>
      </w:r>
      <w:r>
        <w:tab/>
      </w:r>
      <w:r>
        <w:tab/>
      </w:r>
      <w:r w:rsidR="00095AFE">
        <w:tab/>
      </w:r>
      <w:r>
        <w:tab/>
      </w:r>
      <w:r w:rsidRPr="007E3FD4">
        <w:rPr>
          <w:b/>
          <w:bCs/>
        </w:rPr>
        <w:t>(2.2)</w:t>
      </w:r>
    </w:p>
    <w:p w14:paraId="03F828E4" w14:textId="77777777" w:rsidR="0078185C" w:rsidRDefault="0078185C">
      <w:pPr>
        <w:jc w:val="both"/>
        <w:rPr>
          <w:b/>
          <w:i/>
        </w:rPr>
      </w:pPr>
    </w:p>
    <w:p w14:paraId="1FFBC609" w14:textId="6366B7E6" w:rsidR="0078185C" w:rsidRDefault="00000000">
      <w:pPr>
        <w:jc w:val="both"/>
        <w:rPr>
          <w:b/>
          <w:i/>
        </w:rPr>
      </w:pPr>
      <w:r>
        <w:t xml:space="preserve">and therefore, for a given pixel, the corresponding smoothed value </w:t>
      </w:r>
      <m:oMath>
        <m:r>
          <w:rPr>
            <w:rFonts w:ascii="Cambria Math" w:hAnsi="Cambria Math"/>
          </w:rPr>
          <m:t>V</m:t>
        </m:r>
      </m:oMath>
      <w:r>
        <w:t xml:space="preserve"> (i.e., interpolated Tmin, Tavg, VPD, SWrad) is</w:t>
      </w:r>
      <w:r>
        <w:rPr>
          <w:b/>
          <w:i/>
        </w:rPr>
        <w:t>:</w:t>
      </w:r>
    </w:p>
    <w:p w14:paraId="2AC57CB0" w14:textId="541FF2AB" w:rsidR="0078185C" w:rsidRDefault="0078185C">
      <w:pPr>
        <w:jc w:val="both"/>
        <w:rPr>
          <w:b/>
          <w:i/>
        </w:rPr>
      </w:pPr>
    </w:p>
    <w:p w14:paraId="103D237E" w14:textId="2359F2DB" w:rsidR="0078185C" w:rsidRDefault="00000000">
      <w:pPr>
        <w:rPr>
          <w:b/>
          <w:i/>
        </w:rPr>
      </w:pPr>
      <w:r>
        <w:tab/>
      </w:r>
      <m:oMath>
        <m:r>
          <w:rPr>
            <w:rFonts w:ascii="Cambria Math" w:hAnsi="Cambria Math"/>
          </w:rPr>
          <m:t>V=</m:t>
        </m:r>
        <m:nary>
          <m:naryPr>
            <m:chr m:val="∑"/>
            <m:ctrlPr>
              <w:rPr>
                <w:rFonts w:ascii="Cambria Math" w:hAnsi="Cambria Math"/>
              </w:rPr>
            </m:ctrlPr>
          </m:naryPr>
          <m:sub>
            <m:r>
              <w:rPr>
                <w:rFonts w:ascii="Cambria Math" w:hAnsi="Cambria Math"/>
              </w:rPr>
              <m:t>i=1</m:t>
            </m:r>
          </m:sub>
          <m:sup>
            <m:r>
              <w:rPr>
                <w:rFonts w:ascii="Cambria Math" w:hAnsi="Cambria Math"/>
              </w:rPr>
              <m:t>4</m:t>
            </m:r>
          </m:sup>
          <m:e>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i</m:t>
                    </m:r>
                  </m:sub>
                </m:sSub>
              </m:e>
            </m:d>
          </m:e>
        </m:nary>
      </m:oMath>
      <w:r>
        <w:t xml:space="preserve">                                                       </w:t>
      </w:r>
      <w:r w:rsidR="00095AFE">
        <w:tab/>
      </w:r>
      <w:r w:rsidR="00095AFE">
        <w:tab/>
      </w:r>
      <w:r>
        <w:t xml:space="preserve">           </w:t>
      </w:r>
      <w:r w:rsidRPr="007E3FD4">
        <w:rPr>
          <w:b/>
          <w:bCs/>
        </w:rPr>
        <w:t>(2.3)</w:t>
      </w:r>
    </w:p>
    <w:p w14:paraId="6C57C439" w14:textId="73EF9B10" w:rsidR="0078185C" w:rsidRDefault="00DA590B">
      <w:pPr>
        <w:jc w:val="both"/>
        <w:rPr>
          <w:b/>
          <w:i/>
        </w:rPr>
      </w:pPr>
      <w:r>
        <w:rPr>
          <w:noProof/>
        </w:rPr>
        <w:drawing>
          <wp:anchor distT="0" distB="0" distL="114300" distR="114300" simplePos="0" relativeHeight="251658240" behindDoc="0" locked="0" layoutInCell="1" allowOverlap="1" wp14:anchorId="654028E6" wp14:editId="5CFF7745">
            <wp:simplePos x="0" y="0"/>
            <wp:positionH relativeFrom="column">
              <wp:posOffset>105410</wp:posOffset>
            </wp:positionH>
            <wp:positionV relativeFrom="paragraph">
              <wp:posOffset>76298</wp:posOffset>
            </wp:positionV>
            <wp:extent cx="5739618" cy="2803568"/>
            <wp:effectExtent l="0" t="0" r="1270" b="3175"/>
            <wp:wrapNone/>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739618" cy="2803568"/>
                    </a:xfrm>
                    <a:prstGeom prst="rect">
                      <a:avLst/>
                    </a:prstGeom>
                  </pic:spPr>
                </pic:pic>
              </a:graphicData>
            </a:graphic>
            <wp14:sizeRelH relativeFrom="page">
              <wp14:pctWidth>0</wp14:pctWidth>
            </wp14:sizeRelH>
            <wp14:sizeRelV relativeFrom="page">
              <wp14:pctHeight>0</wp14:pctHeight>
            </wp14:sizeRelV>
          </wp:anchor>
        </w:drawing>
      </w:r>
    </w:p>
    <w:p w14:paraId="3D404BC9" w14:textId="0F81DAA5" w:rsidR="0078185C" w:rsidRDefault="0078185C">
      <w:pPr>
        <w:jc w:val="both"/>
        <w:rPr>
          <w:b/>
          <w:i/>
        </w:rPr>
      </w:pPr>
    </w:p>
    <w:p w14:paraId="377ED251" w14:textId="77777777" w:rsidR="00DA590B" w:rsidRDefault="00DA590B">
      <w:pPr>
        <w:jc w:val="both"/>
        <w:rPr>
          <w:b/>
          <w:i/>
        </w:rPr>
      </w:pPr>
    </w:p>
    <w:p w14:paraId="03543F1B" w14:textId="77777777" w:rsidR="00DA590B" w:rsidRDefault="00DA590B">
      <w:pPr>
        <w:jc w:val="both"/>
        <w:rPr>
          <w:b/>
          <w:i/>
        </w:rPr>
      </w:pPr>
    </w:p>
    <w:p w14:paraId="3B0ECDB5" w14:textId="77777777" w:rsidR="00DA590B" w:rsidRDefault="00DA590B">
      <w:pPr>
        <w:jc w:val="both"/>
        <w:rPr>
          <w:b/>
          <w:i/>
        </w:rPr>
      </w:pPr>
    </w:p>
    <w:p w14:paraId="2397856C" w14:textId="77777777" w:rsidR="00DA590B" w:rsidRDefault="00DA590B">
      <w:pPr>
        <w:jc w:val="both"/>
        <w:rPr>
          <w:b/>
          <w:i/>
        </w:rPr>
      </w:pPr>
    </w:p>
    <w:p w14:paraId="4C34926E" w14:textId="77777777" w:rsidR="00DA590B" w:rsidRDefault="00DA590B">
      <w:pPr>
        <w:jc w:val="both"/>
        <w:rPr>
          <w:b/>
          <w:i/>
        </w:rPr>
      </w:pPr>
    </w:p>
    <w:p w14:paraId="6353E3B4" w14:textId="77777777" w:rsidR="00DA590B" w:rsidRDefault="00DA590B">
      <w:pPr>
        <w:jc w:val="both"/>
        <w:rPr>
          <w:b/>
          <w:i/>
        </w:rPr>
      </w:pPr>
    </w:p>
    <w:p w14:paraId="2B2B2168" w14:textId="77777777" w:rsidR="00DA590B" w:rsidRDefault="00DA590B">
      <w:pPr>
        <w:jc w:val="both"/>
        <w:rPr>
          <w:b/>
          <w:i/>
        </w:rPr>
      </w:pPr>
    </w:p>
    <w:p w14:paraId="07C845F7" w14:textId="77777777" w:rsidR="00DA590B" w:rsidRDefault="00DA590B">
      <w:pPr>
        <w:jc w:val="both"/>
        <w:rPr>
          <w:b/>
          <w:i/>
        </w:rPr>
      </w:pPr>
    </w:p>
    <w:p w14:paraId="4E0A9B9C" w14:textId="77777777" w:rsidR="00DA590B" w:rsidRDefault="00DA590B">
      <w:pPr>
        <w:jc w:val="both"/>
        <w:rPr>
          <w:b/>
          <w:i/>
        </w:rPr>
      </w:pPr>
    </w:p>
    <w:p w14:paraId="16C5227B" w14:textId="77777777" w:rsidR="00DA590B" w:rsidRDefault="00DA590B">
      <w:pPr>
        <w:jc w:val="both"/>
        <w:rPr>
          <w:b/>
          <w:i/>
        </w:rPr>
      </w:pPr>
    </w:p>
    <w:p w14:paraId="600A8323" w14:textId="77777777" w:rsidR="00DA590B" w:rsidRDefault="00DA590B">
      <w:pPr>
        <w:jc w:val="both"/>
        <w:rPr>
          <w:b/>
          <w:i/>
        </w:rPr>
      </w:pPr>
    </w:p>
    <w:p w14:paraId="0D52D1AD" w14:textId="77777777" w:rsidR="00DA590B" w:rsidRDefault="00DA590B">
      <w:pPr>
        <w:jc w:val="both"/>
        <w:rPr>
          <w:b/>
          <w:i/>
        </w:rPr>
      </w:pPr>
    </w:p>
    <w:p w14:paraId="3F14853A" w14:textId="77777777" w:rsidR="00DA590B" w:rsidRDefault="00DA590B">
      <w:pPr>
        <w:jc w:val="both"/>
        <w:rPr>
          <w:b/>
          <w:i/>
        </w:rPr>
      </w:pPr>
    </w:p>
    <w:p w14:paraId="0D142816" w14:textId="77777777" w:rsidR="00DA590B" w:rsidRDefault="00DA590B">
      <w:pPr>
        <w:jc w:val="both"/>
        <w:rPr>
          <w:b/>
          <w:i/>
        </w:rPr>
      </w:pPr>
    </w:p>
    <w:p w14:paraId="61319B8A" w14:textId="5BB91595" w:rsidR="0078185C" w:rsidRDefault="0078185C">
      <w:pPr>
        <w:jc w:val="both"/>
        <w:rPr>
          <w:b/>
          <w:bCs/>
        </w:rPr>
      </w:pPr>
    </w:p>
    <w:p w14:paraId="42B184C6" w14:textId="00BDD316" w:rsidR="0078185C" w:rsidRDefault="00000000">
      <w:pPr>
        <w:pStyle w:val="PlainText"/>
        <w:keepNext/>
        <w:jc w:val="both"/>
        <w:rPr>
          <w:rFonts w:ascii="Times New Roman" w:eastAsia="MS Mincho" w:hAnsi="Times New Roman" w:cs="Times New Roman"/>
          <w:i/>
          <w:sz w:val="24"/>
        </w:rPr>
      </w:pPr>
      <w:r>
        <w:rPr>
          <w:rFonts w:ascii="Times New Roman" w:eastAsia="MS Mincho" w:hAnsi="Times New Roman" w:cs="Times New Roman"/>
          <w:b/>
          <w:i/>
          <w:sz w:val="24"/>
        </w:rPr>
        <w:t>Figure 2.7.</w:t>
      </w:r>
      <w:r>
        <w:rPr>
          <w:rFonts w:ascii="Times New Roman" w:eastAsia="MS Mincho" w:hAnsi="Times New Roman" w:cs="Times New Roman"/>
          <w:i/>
          <w:sz w:val="24"/>
        </w:rPr>
        <w:t xml:space="preserve"> The effects of GMAO smoothing on 8-day GPP and annual NPP by comparing Collection 4 (upper panel without GMAO smoothing) and Collection 4.5 (low panel with GMAO </w:t>
      </w:r>
      <w:r>
        <w:rPr>
          <w:rFonts w:ascii="Times New Roman" w:eastAsia="MS Mincho" w:hAnsi="Times New Roman" w:cs="Times New Roman"/>
          <w:i/>
          <w:sz w:val="24"/>
        </w:rPr>
        <w:lastRenderedPageBreak/>
        <w:t>smoothing) MOD17A2 GPP (composite period 241) and MOD17A3 NPP over part of southwest USA for 2001.</w:t>
      </w:r>
    </w:p>
    <w:p w14:paraId="32A0C8BD" w14:textId="61BE2E83" w:rsidR="00DA590B" w:rsidRDefault="00DA590B">
      <w:pPr>
        <w:pStyle w:val="PlainText"/>
        <w:keepNext/>
        <w:jc w:val="both"/>
        <w:rPr>
          <w:rFonts w:ascii="Times New Roman" w:eastAsia="MS Mincho" w:hAnsi="Times New Roman" w:cs="Times New Roman"/>
          <w:i/>
          <w:sz w:val="24"/>
        </w:rPr>
      </w:pPr>
    </w:p>
    <w:p w14:paraId="3E6E679C" w14:textId="30DD12AD" w:rsidR="00DA590B" w:rsidRPr="00DA590B" w:rsidRDefault="00DA590B" w:rsidP="00DA590B">
      <w:pPr>
        <w:ind w:firstLine="720"/>
        <w:jc w:val="both"/>
        <w:rPr>
          <w:b/>
          <w:i/>
        </w:rPr>
      </w:pPr>
      <w:r>
        <w:t>Figure 2.7 shows how this method works for C4.5 MOD17A2/A3. The degree to which this interpolated meteorology will improve the accuracy of GPP and NPP estimates, however, is largely dependent on the accuracy of GMAO data and the properties of local environmental conditions, such as elevation or weather patterns. Our previous study using WMO weather stations as references has shown that this spatial smoothing process overall has enhanced the accuracy of the GMAO data at 1km scale compared to the nearest-neighbor method (Zhao et al., 2005).</w:t>
      </w:r>
    </w:p>
    <w:p w14:paraId="31A560F4" w14:textId="33CFB530" w:rsidR="0078185C" w:rsidRDefault="0078185C">
      <w:pPr>
        <w:jc w:val="both"/>
        <w:rPr>
          <w:b/>
          <w:i/>
        </w:rPr>
      </w:pPr>
    </w:p>
    <w:p w14:paraId="5DC543A3" w14:textId="012736E5" w:rsidR="0078185C" w:rsidRDefault="00000000">
      <w:pPr>
        <w:pStyle w:val="Heading1"/>
        <w:rPr>
          <w:i/>
        </w:rPr>
      </w:pPr>
      <w:bookmarkStart w:id="20" w:name="_Toc181041991"/>
      <w:r>
        <w:t>3.  Validation of VNP17/VJ117 GPP and NPP</w:t>
      </w:r>
      <w:bookmarkEnd w:id="20"/>
    </w:p>
    <w:p w14:paraId="047811EB" w14:textId="153C56ED" w:rsidR="0078185C" w:rsidRDefault="00000000">
      <w:pPr>
        <w:pStyle w:val="PlainText"/>
        <w:jc w:val="both"/>
        <w:rPr>
          <w:rFonts w:ascii="Times New Roman" w:eastAsia="MS Mincho" w:hAnsi="Times New Roman" w:cs="Times New Roman"/>
          <w:bCs/>
        </w:rPr>
      </w:pPr>
      <w:r>
        <w:rPr>
          <w:rFonts w:ascii="Times New Roman" w:eastAsia="MS Mincho" w:hAnsi="Times New Roman" w:cs="Times New Roman"/>
          <w:sz w:val="24"/>
          <w:szCs w:val="24"/>
        </w:rPr>
        <w:tab/>
        <w:t>So far, the published validation activities are for MODIS GPP/NPP as VIIRS VNP17 GPP/NPP data have</w:t>
      </w:r>
      <w:r w:rsidR="00926762">
        <w:rPr>
          <w:rFonts w:ascii="Times New Roman" w:eastAsia="MS Mincho" w:hAnsi="Times New Roman" w:cs="Times New Roman"/>
          <w:sz w:val="24"/>
          <w:szCs w:val="24"/>
        </w:rPr>
        <w:t xml:space="preserve"> </w:t>
      </w:r>
      <w:r>
        <w:rPr>
          <w:rFonts w:ascii="Times New Roman" w:eastAsia="MS Mincho" w:hAnsi="Times New Roman" w:cs="Times New Roman"/>
          <w:sz w:val="24"/>
          <w:szCs w:val="24"/>
        </w:rPr>
        <w:t>not yet been released. Therefore, while most of the validation details below are based on MODIS MOD17, they are also relevant to estimates from VIIRS. The original strategy for validation of the MOD17 GPP and NPP data can be found in Running et al. (1999)</w:t>
      </w:r>
      <w:r w:rsidRPr="00977C54">
        <w:rPr>
          <w:rFonts w:ascii="Times New Roman" w:eastAsia="MS Mincho" w:hAnsi="Times New Roman" w:cs="Times New Roman"/>
          <w:sz w:val="24"/>
          <w:szCs w:val="24"/>
        </w:rPr>
        <w:t>.</w:t>
      </w:r>
      <w:r>
        <w:rPr>
          <w:rFonts w:ascii="Times New Roman" w:eastAsia="MS Mincho" w:hAnsi="Times New Roman" w:cs="Times New Roman"/>
          <w:b/>
          <w:sz w:val="24"/>
          <w:szCs w:val="24"/>
        </w:rPr>
        <w:t xml:space="preserve"> </w:t>
      </w:r>
      <w:r>
        <w:rPr>
          <w:rFonts w:ascii="Times New Roman" w:eastAsia="MS Mincho" w:hAnsi="Times New Roman" w:cs="Times New Roman"/>
          <w:sz w:val="24"/>
          <w:szCs w:val="24"/>
        </w:rPr>
        <w:t xml:space="preserve">That paper, published before the first MODIS launch, developed an overall plan for integrating MODIS land data into global terrestrial monitoring. This paper laid the foundation for the interaction between MODLAND and the eddy covariance (EC) flux tower community, illustrating the mutual advantage of flux towers providing direct measurement of carbon and water fluxes, while MODIS land products provided a spatial extrapolation of the tower data. It also laid out the conceptual basis for swapping out various components of the MOD17 algorithm </w:t>
      </w:r>
      <w:proofErr w:type="gramStart"/>
      <w:r>
        <w:rPr>
          <w:rFonts w:ascii="Times New Roman" w:eastAsia="MS Mincho" w:hAnsi="Times New Roman" w:cs="Times New Roman"/>
          <w:sz w:val="24"/>
          <w:szCs w:val="24"/>
        </w:rPr>
        <w:t>in order to</w:t>
      </w:r>
      <w:proofErr w:type="gramEnd"/>
      <w:r>
        <w:rPr>
          <w:rFonts w:ascii="Times New Roman" w:eastAsia="MS Mincho" w:hAnsi="Times New Roman" w:cs="Times New Roman"/>
          <w:sz w:val="24"/>
          <w:szCs w:val="24"/>
        </w:rPr>
        <w:t xml:space="preserve"> isolate points of uncertainty and inaccuracy, shown in Figure 3.1. </w:t>
      </w:r>
      <w:r>
        <w:rPr>
          <w:rFonts w:ascii="Times New Roman" w:eastAsia="MS Mincho" w:hAnsi="Times New Roman" w:cs="Times New Roman"/>
          <w:sz w:val="28"/>
          <w:szCs w:val="28"/>
        </w:rPr>
        <w:tab/>
      </w:r>
    </w:p>
    <w:p w14:paraId="3A413BF6" w14:textId="02B20CF5" w:rsidR="0078185C" w:rsidRDefault="00DA590B">
      <w:pPr>
        <w:pStyle w:val="PlainText"/>
        <w:rPr>
          <w:rFonts w:ascii="Times New Roman" w:eastAsia="MS Mincho" w:hAnsi="Times New Roman" w:cs="Times New Roman"/>
        </w:rPr>
      </w:pPr>
      <w:r>
        <w:rPr>
          <w:rFonts w:ascii="Times New Roman" w:eastAsia="MS Mincho" w:hAnsi="Times New Roman" w:cs="Times New Roman"/>
          <w:noProof/>
        </w:rPr>
        <w:drawing>
          <wp:anchor distT="0" distB="0" distL="0" distR="0" simplePos="0" relativeHeight="51" behindDoc="0" locked="0" layoutInCell="1" allowOverlap="1" wp14:anchorId="2877D163" wp14:editId="4C220FD5">
            <wp:simplePos x="0" y="0"/>
            <wp:positionH relativeFrom="margin">
              <wp:posOffset>386862</wp:posOffset>
            </wp:positionH>
            <wp:positionV relativeFrom="margin">
              <wp:posOffset>3904174</wp:posOffset>
            </wp:positionV>
            <wp:extent cx="5198012" cy="3390169"/>
            <wp:effectExtent l="0" t="0" r="0" b="1270"/>
            <wp:wrapNone/>
            <wp:docPr id="45"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3940"/>
                    <pic:cNvPicPr>
                      <a:picLocks noChangeAspect="1" noChangeArrowheads="1"/>
                    </pic:cNvPicPr>
                  </pic:nvPicPr>
                  <pic:blipFill>
                    <a:blip r:embed="rId31"/>
                    <a:stretch>
                      <a:fillRect/>
                    </a:stretch>
                  </pic:blipFill>
                  <pic:spPr bwMode="auto">
                    <a:xfrm>
                      <a:off x="0" y="0"/>
                      <a:ext cx="5201752" cy="3392608"/>
                    </a:xfrm>
                    <a:prstGeom prst="rect">
                      <a:avLst/>
                    </a:prstGeom>
                  </pic:spPr>
                </pic:pic>
              </a:graphicData>
            </a:graphic>
            <wp14:sizeRelH relativeFrom="margin">
              <wp14:pctWidth>0</wp14:pctWidth>
            </wp14:sizeRelH>
            <wp14:sizeRelV relativeFrom="margin">
              <wp14:pctHeight>0</wp14:pctHeight>
            </wp14:sizeRelV>
          </wp:anchor>
        </w:drawing>
      </w:r>
    </w:p>
    <w:p w14:paraId="33D28B4B" w14:textId="5C780058" w:rsidR="0078185C" w:rsidRDefault="0078185C">
      <w:pPr>
        <w:pStyle w:val="PlainText"/>
        <w:rPr>
          <w:rFonts w:ascii="Times New Roman" w:eastAsia="MS Mincho" w:hAnsi="Times New Roman" w:cs="Times New Roman"/>
        </w:rPr>
      </w:pPr>
    </w:p>
    <w:p w14:paraId="37EFA3E3" w14:textId="0D12F7A2" w:rsidR="0078185C" w:rsidRDefault="0078185C">
      <w:pPr>
        <w:pStyle w:val="PlainText"/>
        <w:rPr>
          <w:rFonts w:ascii="Times New Roman" w:eastAsia="MS Mincho" w:hAnsi="Times New Roman" w:cs="Times New Roman"/>
        </w:rPr>
      </w:pPr>
    </w:p>
    <w:p w14:paraId="41C6AC2A" w14:textId="2921C970" w:rsidR="0078185C" w:rsidRDefault="0078185C">
      <w:pPr>
        <w:pStyle w:val="PlainText"/>
        <w:rPr>
          <w:rFonts w:ascii="Times New Roman" w:eastAsia="MS Mincho" w:hAnsi="Times New Roman" w:cs="Times New Roman"/>
        </w:rPr>
      </w:pPr>
    </w:p>
    <w:p w14:paraId="2DC44586" w14:textId="391903FE" w:rsidR="0078185C" w:rsidRDefault="0078185C">
      <w:pPr>
        <w:pStyle w:val="PlainText"/>
        <w:rPr>
          <w:rFonts w:ascii="Times New Roman" w:eastAsia="MS Mincho" w:hAnsi="Times New Roman" w:cs="Times New Roman"/>
        </w:rPr>
      </w:pPr>
    </w:p>
    <w:p w14:paraId="4FFCBC07" w14:textId="77777777" w:rsidR="0078185C" w:rsidRDefault="0078185C">
      <w:pPr>
        <w:pStyle w:val="PlainText"/>
        <w:rPr>
          <w:rFonts w:ascii="Times New Roman" w:eastAsia="MS Mincho" w:hAnsi="Times New Roman" w:cs="Times New Roman"/>
        </w:rPr>
      </w:pPr>
    </w:p>
    <w:p w14:paraId="1728B4D0" w14:textId="77777777" w:rsidR="0078185C" w:rsidRDefault="0078185C">
      <w:pPr>
        <w:pStyle w:val="PlainText"/>
        <w:rPr>
          <w:rFonts w:ascii="Times New Roman" w:eastAsia="MS Mincho" w:hAnsi="Times New Roman" w:cs="Times New Roman"/>
        </w:rPr>
      </w:pPr>
    </w:p>
    <w:p w14:paraId="46ECB558" w14:textId="34982ECD" w:rsidR="0078185C" w:rsidRDefault="0078185C">
      <w:pPr>
        <w:pStyle w:val="PlainText"/>
        <w:rPr>
          <w:rFonts w:ascii="Times New Roman" w:eastAsia="MS Mincho" w:hAnsi="Times New Roman" w:cs="Times New Roman"/>
        </w:rPr>
      </w:pPr>
    </w:p>
    <w:p w14:paraId="34959D4B" w14:textId="77777777" w:rsidR="0078185C" w:rsidRDefault="0078185C">
      <w:pPr>
        <w:pStyle w:val="PlainText"/>
        <w:rPr>
          <w:rFonts w:ascii="Times New Roman" w:eastAsia="MS Mincho" w:hAnsi="Times New Roman" w:cs="Times New Roman"/>
        </w:rPr>
      </w:pPr>
    </w:p>
    <w:p w14:paraId="7BD58BA2" w14:textId="77777777" w:rsidR="0078185C" w:rsidRDefault="0078185C">
      <w:pPr>
        <w:pStyle w:val="PlainText"/>
        <w:rPr>
          <w:rFonts w:ascii="Times New Roman" w:eastAsia="MS Mincho" w:hAnsi="Times New Roman" w:cs="Times New Roman"/>
        </w:rPr>
      </w:pPr>
    </w:p>
    <w:p w14:paraId="4357A966" w14:textId="77777777" w:rsidR="0078185C" w:rsidRDefault="0078185C">
      <w:pPr>
        <w:pStyle w:val="PlainText"/>
        <w:rPr>
          <w:rFonts w:ascii="Times New Roman" w:eastAsia="MS Mincho" w:hAnsi="Times New Roman" w:cs="Times New Roman"/>
        </w:rPr>
      </w:pPr>
    </w:p>
    <w:p w14:paraId="44690661" w14:textId="77777777" w:rsidR="0078185C" w:rsidRDefault="0078185C">
      <w:pPr>
        <w:pStyle w:val="PlainText"/>
        <w:rPr>
          <w:rFonts w:ascii="Times New Roman" w:eastAsia="MS Mincho" w:hAnsi="Times New Roman" w:cs="Times New Roman"/>
        </w:rPr>
      </w:pPr>
    </w:p>
    <w:p w14:paraId="74539910" w14:textId="77777777" w:rsidR="0078185C" w:rsidRDefault="0078185C">
      <w:pPr>
        <w:pStyle w:val="PlainText"/>
        <w:rPr>
          <w:rFonts w:ascii="Times New Roman" w:eastAsia="MS Mincho" w:hAnsi="Times New Roman" w:cs="Times New Roman"/>
        </w:rPr>
      </w:pPr>
    </w:p>
    <w:p w14:paraId="5A7E0CF2" w14:textId="77777777" w:rsidR="0078185C" w:rsidRDefault="0078185C">
      <w:pPr>
        <w:pStyle w:val="PlainText"/>
        <w:rPr>
          <w:rFonts w:ascii="Times New Roman" w:eastAsia="MS Mincho" w:hAnsi="Times New Roman" w:cs="Times New Roman"/>
        </w:rPr>
      </w:pPr>
    </w:p>
    <w:p w14:paraId="60FA6563" w14:textId="77777777" w:rsidR="0078185C" w:rsidRDefault="0078185C">
      <w:pPr>
        <w:pStyle w:val="PlainText"/>
        <w:rPr>
          <w:rFonts w:ascii="Times New Roman" w:eastAsia="MS Mincho" w:hAnsi="Times New Roman" w:cs="Times New Roman"/>
        </w:rPr>
      </w:pPr>
    </w:p>
    <w:p w14:paraId="1AC5CDBE" w14:textId="77777777" w:rsidR="0078185C" w:rsidRDefault="0078185C">
      <w:pPr>
        <w:pStyle w:val="PlainText"/>
        <w:rPr>
          <w:rFonts w:ascii="Times New Roman" w:eastAsia="MS Mincho" w:hAnsi="Times New Roman" w:cs="Times New Roman"/>
        </w:rPr>
      </w:pPr>
    </w:p>
    <w:p w14:paraId="342D4C27" w14:textId="77777777" w:rsidR="0078185C" w:rsidRDefault="0078185C">
      <w:pPr>
        <w:pStyle w:val="PlainText"/>
        <w:rPr>
          <w:rFonts w:ascii="Times New Roman" w:eastAsia="MS Mincho" w:hAnsi="Times New Roman" w:cs="Times New Roman"/>
        </w:rPr>
      </w:pPr>
    </w:p>
    <w:p w14:paraId="3572E399" w14:textId="77777777" w:rsidR="0078185C" w:rsidRDefault="0078185C">
      <w:pPr>
        <w:pStyle w:val="PlainText"/>
        <w:rPr>
          <w:rFonts w:ascii="Times New Roman" w:eastAsia="MS Mincho" w:hAnsi="Times New Roman" w:cs="Times New Roman"/>
        </w:rPr>
      </w:pPr>
    </w:p>
    <w:p w14:paraId="6CEB15CE" w14:textId="77777777" w:rsidR="0078185C" w:rsidRDefault="0078185C">
      <w:pPr>
        <w:pStyle w:val="PlainText"/>
        <w:rPr>
          <w:rFonts w:ascii="Times New Roman" w:eastAsia="MS Mincho" w:hAnsi="Times New Roman" w:cs="Times New Roman"/>
        </w:rPr>
      </w:pPr>
    </w:p>
    <w:p w14:paraId="66518E39" w14:textId="77777777" w:rsidR="0078185C" w:rsidRDefault="0078185C">
      <w:pPr>
        <w:pStyle w:val="PlainText"/>
        <w:rPr>
          <w:rFonts w:ascii="Times New Roman" w:eastAsia="MS Mincho" w:hAnsi="Times New Roman" w:cs="Times New Roman"/>
        </w:rPr>
      </w:pPr>
    </w:p>
    <w:p w14:paraId="7E75FCD0" w14:textId="77777777" w:rsidR="0078185C" w:rsidRDefault="0078185C">
      <w:pPr>
        <w:pStyle w:val="PlainText"/>
        <w:rPr>
          <w:rFonts w:ascii="Times New Roman" w:eastAsia="MS Mincho" w:hAnsi="Times New Roman" w:cs="Times New Roman"/>
        </w:rPr>
      </w:pPr>
    </w:p>
    <w:p w14:paraId="10FDAA0E" w14:textId="77777777" w:rsidR="0078185C" w:rsidRDefault="0078185C">
      <w:pPr>
        <w:pStyle w:val="PlainText"/>
        <w:rPr>
          <w:rFonts w:ascii="Times New Roman" w:eastAsia="MS Mincho" w:hAnsi="Times New Roman" w:cs="Times New Roman"/>
        </w:rPr>
      </w:pPr>
    </w:p>
    <w:p w14:paraId="774AF2BF" w14:textId="77777777" w:rsidR="0078185C" w:rsidRDefault="0078185C">
      <w:pPr>
        <w:pStyle w:val="PlainText"/>
        <w:rPr>
          <w:rFonts w:ascii="Times New Roman" w:eastAsia="MS Mincho" w:hAnsi="Times New Roman" w:cs="Times New Roman"/>
        </w:rPr>
      </w:pPr>
    </w:p>
    <w:p w14:paraId="713C1913" w14:textId="77777777" w:rsidR="00DA590B" w:rsidRDefault="00DA590B">
      <w:pPr>
        <w:pStyle w:val="PlainText"/>
        <w:rPr>
          <w:rFonts w:ascii="Times New Roman" w:eastAsia="MS Mincho" w:hAnsi="Times New Roman" w:cs="Times New Roman"/>
        </w:rPr>
      </w:pPr>
    </w:p>
    <w:p w14:paraId="041D98D7" w14:textId="2FD05D03" w:rsidR="0078185C" w:rsidRPr="00DA590B" w:rsidRDefault="00000000" w:rsidP="00DA590B">
      <w:pPr>
        <w:jc w:val="both"/>
        <w:rPr>
          <w:i/>
        </w:rPr>
      </w:pPr>
      <w:r>
        <w:rPr>
          <w:b/>
          <w:i/>
        </w:rPr>
        <w:t>Figure 3.1</w:t>
      </w:r>
      <w:r>
        <w:rPr>
          <w:i/>
        </w:rPr>
        <w:t xml:space="preserve">. </w:t>
      </w:r>
      <w:r>
        <w:rPr>
          <w:i/>
          <w:szCs w:val="20"/>
        </w:rPr>
        <w:t>The conceptual logic we are following for validation of MODIS and VIIRS GPP with flux tower data where tower meteorology, ground measured FPAR and more rigorous ecosystem models are sequentially substituted to evaluate sources of error and variability in VNP17 and VJ117 (based on Running et al. 1999).</w:t>
      </w:r>
    </w:p>
    <w:p w14:paraId="0A327F6B" w14:textId="567B1F00"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8"/>
          <w:szCs w:val="28"/>
        </w:rPr>
        <w:lastRenderedPageBreak/>
        <w:tab/>
      </w:r>
      <w:r>
        <w:rPr>
          <w:rFonts w:ascii="Times New Roman" w:eastAsia="MS Mincho" w:hAnsi="Times New Roman" w:cs="Times New Roman"/>
          <w:sz w:val="24"/>
          <w:szCs w:val="24"/>
        </w:rPr>
        <w:t xml:space="preserve">Early validation papers using this strategy can be found in Turner et al. (2003, 2004, and 2006), and </w:t>
      </w:r>
      <w:proofErr w:type="spellStart"/>
      <w:r>
        <w:rPr>
          <w:rFonts w:ascii="Times New Roman" w:eastAsia="MS Mincho" w:hAnsi="Times New Roman" w:cs="Times New Roman"/>
          <w:sz w:val="24"/>
          <w:szCs w:val="24"/>
        </w:rPr>
        <w:t>Heinsch</w:t>
      </w:r>
      <w:proofErr w:type="spellEnd"/>
      <w:r>
        <w:rPr>
          <w:rFonts w:ascii="Times New Roman" w:eastAsia="MS Mincho" w:hAnsi="Times New Roman" w:cs="Times New Roman"/>
          <w:sz w:val="24"/>
          <w:szCs w:val="24"/>
        </w:rPr>
        <w:t xml:space="preserve"> et al. (2006). Evaluation of the global climate data (an earlier version of GMAO data) can be found in Zhao et al., (2006). Our latest Calibration/Validation (Cal/Val) efforts on both MODIS and VIIRS GPP and NPP data products using more and longer-term global </w:t>
      </w:r>
      <w:r w:rsidR="00DA590B">
        <w:rPr>
          <w:rFonts w:ascii="Times New Roman" w:eastAsia="MS Mincho" w:hAnsi="Times New Roman" w:cs="Times New Roman"/>
          <w:sz w:val="24"/>
          <w:szCs w:val="24"/>
        </w:rPr>
        <w:t xml:space="preserve">GPP derived from </w:t>
      </w:r>
      <w:r>
        <w:rPr>
          <w:rFonts w:ascii="Times New Roman" w:eastAsia="MS Mincho" w:hAnsi="Times New Roman" w:cs="Times New Roman"/>
          <w:sz w:val="24"/>
          <w:szCs w:val="24"/>
        </w:rPr>
        <w:t xml:space="preserve">EC flux towers </w:t>
      </w:r>
      <w:r w:rsidR="00DA590B">
        <w:rPr>
          <w:rFonts w:ascii="Times New Roman" w:eastAsia="MS Mincho" w:hAnsi="Times New Roman" w:cs="Times New Roman"/>
          <w:sz w:val="24"/>
          <w:szCs w:val="24"/>
        </w:rPr>
        <w:t xml:space="preserve">of the global FLUXNET </w:t>
      </w:r>
      <w:r>
        <w:rPr>
          <w:rFonts w:ascii="Times New Roman" w:eastAsia="MS Mincho" w:hAnsi="Times New Roman" w:cs="Times New Roman"/>
          <w:sz w:val="24"/>
          <w:szCs w:val="24"/>
        </w:rPr>
        <w:t xml:space="preserve">and field NPP measurements </w:t>
      </w:r>
      <w:r w:rsidR="00185E6D">
        <w:rPr>
          <w:rFonts w:ascii="Times New Roman" w:eastAsia="MS Mincho" w:hAnsi="Times New Roman" w:cs="Times New Roman"/>
          <w:sz w:val="24"/>
          <w:szCs w:val="24"/>
        </w:rPr>
        <w:t xml:space="preserve">are detailed in </w:t>
      </w:r>
      <w:r>
        <w:rPr>
          <w:rFonts w:ascii="Times New Roman" w:eastAsia="MS Mincho" w:hAnsi="Times New Roman" w:cs="Times New Roman"/>
          <w:sz w:val="24"/>
          <w:szCs w:val="24"/>
        </w:rPr>
        <w:t>Endsley et al.</w:t>
      </w:r>
      <w:r w:rsidR="00185E6D">
        <w:rPr>
          <w:rFonts w:ascii="Times New Roman" w:eastAsia="MS Mincho" w:hAnsi="Times New Roman" w:cs="Times New Roman"/>
          <w:sz w:val="24"/>
          <w:szCs w:val="24"/>
        </w:rPr>
        <w:t xml:space="preserve"> (</w:t>
      </w:r>
      <w:r>
        <w:rPr>
          <w:rFonts w:ascii="Times New Roman" w:eastAsia="MS Mincho" w:hAnsi="Times New Roman" w:cs="Times New Roman"/>
          <w:sz w:val="24"/>
          <w:szCs w:val="24"/>
        </w:rPr>
        <w:t xml:space="preserve">2023). </w:t>
      </w:r>
      <w:r w:rsidR="00185E6D">
        <w:rPr>
          <w:rFonts w:ascii="Times New Roman" w:eastAsia="MS Mincho" w:hAnsi="Times New Roman" w:cs="Times New Roman"/>
          <w:sz w:val="24"/>
          <w:szCs w:val="24"/>
        </w:rPr>
        <w:t xml:space="preserve"> </w:t>
      </w:r>
      <w:r>
        <w:rPr>
          <w:rFonts w:ascii="Times New Roman" w:eastAsia="MS Mincho" w:hAnsi="Times New Roman" w:cs="Times New Roman"/>
          <w:sz w:val="24"/>
          <w:szCs w:val="24"/>
        </w:rPr>
        <w:t>Google Scholar searches now identify hundreds of similar papers. The current organization of VIIRS land product validation is here:</w:t>
      </w:r>
    </w:p>
    <w:p w14:paraId="5AB7C0C5" w14:textId="77777777" w:rsidR="0078185C" w:rsidRDefault="0078185C">
      <w:pPr>
        <w:pStyle w:val="PlainText"/>
        <w:jc w:val="both"/>
        <w:rPr>
          <w:rFonts w:ascii="Times New Roman" w:eastAsia="MS Mincho" w:hAnsi="Times New Roman" w:cs="Times New Roman"/>
          <w:sz w:val="24"/>
          <w:szCs w:val="24"/>
        </w:rPr>
      </w:pPr>
    </w:p>
    <w:p w14:paraId="4E7A2E6E" w14:textId="77777777" w:rsidR="0078185C" w:rsidRDefault="0078185C">
      <w:pPr>
        <w:pStyle w:val="PlainText"/>
        <w:jc w:val="both"/>
        <w:rPr>
          <w:rFonts w:ascii="Times New Roman" w:eastAsia="MS Mincho" w:hAnsi="Times New Roman" w:cs="Times New Roman"/>
          <w:sz w:val="24"/>
          <w:szCs w:val="24"/>
        </w:rPr>
      </w:pPr>
      <w:hyperlink r:id="rId32">
        <w:r>
          <w:rPr>
            <w:rStyle w:val="Hyperlink"/>
            <w:rFonts w:ascii="Times New Roman" w:eastAsia="MS Mincho" w:hAnsi="Times New Roman" w:cs="Times New Roman"/>
            <w:sz w:val="24"/>
            <w:szCs w:val="24"/>
          </w:rPr>
          <w:t>https://viirsland.gsfc.nasa.gov/</w:t>
        </w:r>
      </w:hyperlink>
    </w:p>
    <w:p w14:paraId="55B33694" w14:textId="77777777" w:rsidR="0078185C" w:rsidRDefault="0078185C">
      <w:pPr>
        <w:pStyle w:val="PlainText"/>
        <w:jc w:val="both"/>
        <w:rPr>
          <w:rFonts w:ascii="Times New Roman" w:eastAsia="MS Mincho" w:hAnsi="Times New Roman" w:cs="Times New Roman"/>
          <w:sz w:val="24"/>
          <w:szCs w:val="24"/>
        </w:rPr>
      </w:pPr>
    </w:p>
    <w:p w14:paraId="313BC801"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and specifics for VIIRS GPP and NPP can be found here:</w:t>
      </w:r>
    </w:p>
    <w:p w14:paraId="4455F193" w14:textId="77777777" w:rsidR="0078185C" w:rsidRDefault="0078185C">
      <w:pPr>
        <w:pStyle w:val="PlainText"/>
        <w:jc w:val="both"/>
        <w:rPr>
          <w:rFonts w:ascii="Times New Roman" w:eastAsia="MS Mincho" w:hAnsi="Times New Roman" w:cs="Times New Roman"/>
          <w:sz w:val="24"/>
          <w:szCs w:val="24"/>
        </w:rPr>
      </w:pPr>
    </w:p>
    <w:p w14:paraId="5AF29550" w14:textId="77777777" w:rsidR="0078185C" w:rsidRDefault="0078185C">
      <w:pPr>
        <w:pStyle w:val="PlainText"/>
        <w:jc w:val="both"/>
        <w:rPr>
          <w:rFonts w:ascii="Times New Roman" w:eastAsia="MS Mincho" w:hAnsi="Times New Roman" w:cs="Times New Roman"/>
          <w:sz w:val="24"/>
          <w:szCs w:val="24"/>
        </w:rPr>
      </w:pPr>
      <w:hyperlink r:id="rId33">
        <w:r>
          <w:rPr>
            <w:rStyle w:val="Hyperlink"/>
            <w:rFonts w:ascii="Times New Roman" w:eastAsia="MS Mincho" w:hAnsi="Times New Roman" w:cs="Times New Roman"/>
            <w:sz w:val="24"/>
            <w:szCs w:val="24"/>
          </w:rPr>
          <w:t>https://viirsland.gsfc.nasa.gov/Products/NASA/GPP_ESDR.html</w:t>
        </w:r>
      </w:hyperlink>
    </w:p>
    <w:p w14:paraId="1C2776EB" w14:textId="77777777" w:rsidR="0078185C" w:rsidRDefault="0078185C">
      <w:pPr>
        <w:pStyle w:val="PlainText"/>
        <w:jc w:val="both"/>
        <w:rPr>
          <w:rFonts w:ascii="Times New Roman" w:eastAsia="MS Mincho" w:hAnsi="Times New Roman" w:cs="Times New Roman"/>
          <w:sz w:val="24"/>
          <w:szCs w:val="24"/>
        </w:rPr>
      </w:pPr>
    </w:p>
    <w:p w14:paraId="4904B973" w14:textId="4A02826E"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Recent reviews of MODIS NPP validated against other global NPP data can be found in Huang et al. (2018), Wang et al. (2017), Fu et al. (2017), Tang et al. (2015), and Pan et al (2014).</w:t>
      </w:r>
    </w:p>
    <w:p w14:paraId="15342E60" w14:textId="77777777" w:rsidR="0078185C" w:rsidRDefault="0078185C">
      <w:pPr>
        <w:pStyle w:val="PlainText"/>
        <w:jc w:val="both"/>
        <w:rPr>
          <w:rFonts w:ascii="Times New Roman" w:eastAsia="MS Mincho" w:hAnsi="Times New Roman" w:cs="Times New Roman"/>
          <w:b/>
        </w:rPr>
      </w:pPr>
    </w:p>
    <w:p w14:paraId="55C24A5E" w14:textId="5D52A1A2" w:rsidR="0078185C" w:rsidRDefault="29B8089E" w:rsidP="29B8089E">
      <w:pPr>
        <w:pStyle w:val="Heading1"/>
        <w:rPr>
          <w:i/>
          <w:iCs/>
        </w:rPr>
      </w:pPr>
      <w:bookmarkStart w:id="21" w:name="_Toc181041992"/>
      <w:r>
        <w:t>4.  Description of 500-m VNP17/VJ117 Data Products</w:t>
      </w:r>
      <w:bookmarkEnd w:id="21"/>
    </w:p>
    <w:p w14:paraId="5EB89DE8" w14:textId="77777777" w:rsidR="0078185C" w:rsidRDefault="0078185C">
      <w:pPr>
        <w:pStyle w:val="PlainText"/>
        <w:jc w:val="both"/>
        <w:rPr>
          <w:rFonts w:ascii="Times New Roman" w:eastAsia="MS Mincho" w:hAnsi="Times New Roman" w:cs="Times New Roman"/>
          <w:sz w:val="24"/>
          <w:szCs w:val="24"/>
        </w:rPr>
      </w:pPr>
    </w:p>
    <w:p w14:paraId="0C2C8019" w14:textId="5BF1CB1C" w:rsidR="0078185C" w:rsidRDefault="00000000">
      <w:pPr>
        <w:pStyle w:val="PlainText"/>
        <w:jc w:val="both"/>
        <w:rPr>
          <w:rFonts w:ascii="Times New Roman" w:eastAsia="MS Mincho" w:hAnsi="Times New Roman" w:cs="Times New Roman"/>
          <w:sz w:val="24"/>
          <w:szCs w:val="24"/>
        </w:rPr>
      </w:pPr>
      <w:r>
        <w:rPr>
          <w:rFonts w:ascii="Webdings" w:eastAsia="Webdings" w:hAnsi="Webdings" w:cs="Webdings"/>
        </w:rPr>
        <w:t></w:t>
      </w:r>
      <w:r w:rsidR="00926762">
        <w:t xml:space="preserve"> </w:t>
      </w:r>
      <w:r>
        <w:rPr>
          <w:rFonts w:ascii="Times New Roman" w:eastAsia="MS Mincho" w:hAnsi="Times New Roman" w:cs="Times New Roman"/>
          <w:i/>
          <w:iCs/>
          <w:sz w:val="24"/>
          <w:szCs w:val="24"/>
        </w:rPr>
        <w:t>VNP17A2/VJ117A2 are 8-day forward data products, which only have the data for the current year. There are no annual, forward VNP17A3/VJ117A3 because at the end of each year, when the entire 46 8-day VNP15A2H/VJ115A2H are available</w:t>
      </w:r>
      <w:r w:rsidR="00B82FF9">
        <w:rPr>
          <w:rFonts w:ascii="Times New Roman" w:eastAsia="MS Mincho" w:hAnsi="Times New Roman" w:cs="Times New Roman"/>
          <w:i/>
          <w:iCs/>
          <w:sz w:val="24"/>
          <w:szCs w:val="24"/>
        </w:rPr>
        <w:t xml:space="preserve"> to enable us to create year-end gap-filled VNP15A2HGF/VJ115A2HGF</w:t>
      </w:r>
      <w:r>
        <w:rPr>
          <w:rFonts w:ascii="Times New Roman" w:eastAsia="MS Mincho" w:hAnsi="Times New Roman" w:cs="Times New Roman"/>
          <w:i/>
          <w:iCs/>
          <w:sz w:val="24"/>
          <w:szCs w:val="24"/>
        </w:rPr>
        <w:t>, the reprocessed year-end gap-filled 8-day VNP17A2GF/VJ117A2GF and annual VNP17A3GF/VJ117A3GF will be available to users. As detailed in the above section 2.4, users should use higher-quality, gap-filled data products if the study data period doesn’t include the present year.</w:t>
      </w:r>
    </w:p>
    <w:p w14:paraId="7D62D461" w14:textId="77777777" w:rsidR="0078185C" w:rsidRDefault="0078185C">
      <w:pPr>
        <w:pStyle w:val="PlainText"/>
        <w:jc w:val="both"/>
        <w:rPr>
          <w:rFonts w:ascii="Times New Roman" w:eastAsia="MS Mincho" w:hAnsi="Times New Roman" w:cs="Times New Roman"/>
          <w:sz w:val="24"/>
          <w:szCs w:val="24"/>
        </w:rPr>
      </w:pPr>
    </w:p>
    <w:p w14:paraId="04F5D30C" w14:textId="0A9FA10F"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Please note that to avoid duplication, this User Guide mainly focuses on VNP17. The information for VNP17 applies to VJ117 unless specified otherwise.</w:t>
      </w:r>
    </w:p>
    <w:p w14:paraId="078B034E" w14:textId="77777777" w:rsidR="0078185C" w:rsidRDefault="0078185C">
      <w:pPr>
        <w:pStyle w:val="PlainText"/>
        <w:jc w:val="both"/>
        <w:rPr>
          <w:rFonts w:ascii="Times New Roman" w:eastAsia="MS Mincho" w:hAnsi="Times New Roman" w:cs="Times New Roman"/>
          <w:sz w:val="24"/>
          <w:szCs w:val="24"/>
        </w:rPr>
      </w:pPr>
    </w:p>
    <w:p w14:paraId="59B7BBA0" w14:textId="3D04EF99"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VIIRS VNP17 data products are stored in grided HDFEOS5 format, a self-described scientific data file format (</w:t>
      </w:r>
      <w:hyperlink r:id="rId34">
        <w:r w:rsidR="0078185C">
          <w:rPr>
            <w:rStyle w:val="Hyperlink"/>
            <w:rFonts w:ascii="Times New Roman" w:eastAsia="MS Mincho" w:hAnsi="Times New Roman" w:cs="Times New Roman"/>
            <w:sz w:val="24"/>
            <w:szCs w:val="24"/>
          </w:rPr>
          <w:t>https://www.hdfeos.org/</w:t>
        </w:r>
      </w:hyperlink>
      <w:r>
        <w:rPr>
          <w:rFonts w:ascii="Times New Roman" w:eastAsia="MS Mincho" w:hAnsi="Times New Roman" w:cs="Times New Roman"/>
          <w:sz w:val="24"/>
          <w:szCs w:val="24"/>
        </w:rPr>
        <w:t>). Users may use a free software, HDFVIEW (</w:t>
      </w:r>
      <w:hyperlink r:id="rId35">
        <w:r w:rsidR="0078185C">
          <w:rPr>
            <w:rStyle w:val="Hyperlink"/>
            <w:rFonts w:ascii="Times New Roman" w:eastAsia="MS Mincho" w:hAnsi="Times New Roman" w:cs="Times New Roman"/>
            <w:sz w:val="24"/>
            <w:szCs w:val="24"/>
          </w:rPr>
          <w:t>https://www.hdfgroup.org/tag/hdfview-release/</w:t>
        </w:r>
      </w:hyperlink>
      <w:r>
        <w:rPr>
          <w:rFonts w:ascii="Times New Roman" w:eastAsia="MS Mincho" w:hAnsi="Times New Roman" w:cs="Times New Roman"/>
          <w:sz w:val="24"/>
          <w:szCs w:val="24"/>
        </w:rPr>
        <w:t xml:space="preserve">), to check the file’s global attributes, attributes of different data fields and the data to gain more information about the data products. As a </w:t>
      </w:r>
      <w:proofErr w:type="gramStart"/>
      <w:r>
        <w:rPr>
          <w:rFonts w:ascii="Times New Roman" w:eastAsia="MS Mincho" w:hAnsi="Times New Roman" w:cs="Times New Roman"/>
          <w:sz w:val="24"/>
          <w:szCs w:val="24"/>
        </w:rPr>
        <w:t>level-4</w:t>
      </w:r>
      <w:proofErr w:type="gramEnd"/>
      <w:r>
        <w:rPr>
          <w:rFonts w:ascii="Times New Roman" w:eastAsia="MS Mincho" w:hAnsi="Times New Roman" w:cs="Times New Roman"/>
          <w:sz w:val="24"/>
          <w:szCs w:val="24"/>
        </w:rPr>
        <w:t xml:space="preserve"> VIIRS land data product, each HDFEOS5 file stores the data over a 10-degree tile domain in Sinusoidal map projection. For details on the 10-degree tile system, please visit the website:</w:t>
      </w:r>
    </w:p>
    <w:p w14:paraId="492506DD" w14:textId="77777777" w:rsidR="0078185C" w:rsidRDefault="0078185C">
      <w:pPr>
        <w:pStyle w:val="PlainText"/>
        <w:jc w:val="both"/>
        <w:rPr>
          <w:rFonts w:ascii="Times New Roman" w:eastAsia="MS Mincho" w:hAnsi="Times New Roman" w:cs="Times New Roman"/>
          <w:sz w:val="24"/>
          <w:szCs w:val="24"/>
        </w:rPr>
      </w:pPr>
    </w:p>
    <w:p w14:paraId="22741827" w14:textId="77777777" w:rsidR="0078185C" w:rsidRDefault="0078185C">
      <w:pPr>
        <w:pStyle w:val="PlainText"/>
        <w:jc w:val="both"/>
        <w:rPr>
          <w:rFonts w:ascii="Times New Roman" w:eastAsia="MS Mincho" w:hAnsi="Times New Roman" w:cs="Times New Roman"/>
          <w:sz w:val="24"/>
          <w:szCs w:val="24"/>
        </w:rPr>
      </w:pPr>
      <w:hyperlink r:id="rId36" w:anchor="viirs-grid-systems" w:history="1">
        <w:r>
          <w:rPr>
            <w:rStyle w:val="Hyperlink"/>
            <w:rFonts w:ascii="Times New Roman" w:eastAsia="MS Mincho" w:hAnsi="Times New Roman" w:cs="Times New Roman"/>
            <w:sz w:val="24"/>
            <w:szCs w:val="24"/>
          </w:rPr>
          <w:t>https://lpdaac.usgs.gov/data/get-started-data/collection-overview/missions/s-npp-nasa-viirs-overview/#viirs-grid-systems</w:t>
        </w:r>
      </w:hyperlink>
    </w:p>
    <w:p w14:paraId="31CD0C16" w14:textId="77777777" w:rsidR="0078185C" w:rsidRDefault="0078185C">
      <w:pPr>
        <w:pStyle w:val="PlainText"/>
        <w:jc w:val="both"/>
        <w:rPr>
          <w:rFonts w:ascii="Times New Roman" w:eastAsia="MS Mincho" w:hAnsi="Times New Roman" w:cs="Times New Roman"/>
          <w:sz w:val="24"/>
          <w:szCs w:val="24"/>
        </w:rPr>
      </w:pPr>
    </w:p>
    <w:p w14:paraId="350A59BD"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Below we provide key information on the data products to help users utilize the data.</w:t>
      </w:r>
    </w:p>
    <w:p w14:paraId="7FD8715F" w14:textId="77777777" w:rsidR="0078185C" w:rsidRDefault="0078185C">
      <w:pPr>
        <w:pStyle w:val="PlainText"/>
        <w:jc w:val="both"/>
        <w:rPr>
          <w:rFonts w:ascii="Times New Roman" w:eastAsia="MS Mincho" w:hAnsi="Times New Roman" w:cs="Times New Roman"/>
          <w:sz w:val="24"/>
          <w:szCs w:val="24"/>
        </w:rPr>
      </w:pPr>
    </w:p>
    <w:p w14:paraId="2174FDFD" w14:textId="77777777" w:rsidR="0078185C" w:rsidRDefault="00000000">
      <w:pPr>
        <w:pStyle w:val="Heading2"/>
        <w:rPr>
          <w:i/>
        </w:rPr>
      </w:pPr>
      <w:bookmarkStart w:id="22" w:name="_Toc181041993"/>
      <w:r>
        <w:t>4.1. File Naming Conventions</w:t>
      </w:r>
      <w:bookmarkEnd w:id="22"/>
    </w:p>
    <w:p w14:paraId="0EC6BBBB" w14:textId="77777777" w:rsidR="0078185C" w:rsidRDefault="00000000" w:rsidP="000135A6">
      <w:pPr>
        <w:spacing w:beforeAutospacing="1" w:afterAutospacing="1"/>
        <w:ind w:firstLine="720"/>
        <w:rPr>
          <w:rFonts w:eastAsia="MS Mincho"/>
        </w:rPr>
      </w:pPr>
      <w:r>
        <w:rPr>
          <w:rFonts w:eastAsia="MS Mincho"/>
        </w:rPr>
        <w:t>Like MODIS land data products, VIIRS filenames follow a naming convention which gives useful information regarding the specific product. Product short name designations are as follows: VNP for Suomi-NPP, and VJ1 for Joint Polar Satellite System-1 (JPSS-1) or NOAA-20.</w:t>
      </w:r>
    </w:p>
    <w:p w14:paraId="296A9D21" w14:textId="6AB327BF" w:rsidR="0078185C" w:rsidRDefault="00000000">
      <w:pPr>
        <w:rPr>
          <w:rFonts w:eastAsia="MS Mincho"/>
        </w:rPr>
      </w:pPr>
      <w:r>
        <w:rPr>
          <w:rFonts w:eastAsia="MS Mincho"/>
        </w:rPr>
        <w:lastRenderedPageBreak/>
        <w:t>In this example of an 8-day Gap-Filled VNP17A2GF product, the filename </w:t>
      </w:r>
      <w:r w:rsidR="006C7E16" w:rsidRPr="006C7E16">
        <w:rPr>
          <w:rFonts w:eastAsia="MS Mincho"/>
        </w:rPr>
        <w:t>VNP17A2GF.A2018193.h11v08.</w:t>
      </w:r>
      <w:proofErr w:type="gramStart"/>
      <w:r w:rsidR="006C7E16" w:rsidRPr="006C7E16">
        <w:rPr>
          <w:rFonts w:eastAsia="MS Mincho"/>
        </w:rPr>
        <w:t>002.2024267211501.h</w:t>
      </w:r>
      <w:proofErr w:type="gramEnd"/>
      <w:r w:rsidR="006C7E16" w:rsidRPr="006C7E16">
        <w:rPr>
          <w:rFonts w:eastAsia="MS Mincho"/>
        </w:rPr>
        <w:t>5</w:t>
      </w:r>
      <w:r>
        <w:rPr>
          <w:rFonts w:eastAsia="MS Mincho"/>
        </w:rPr>
        <w:t> indicates:</w:t>
      </w:r>
    </w:p>
    <w:p w14:paraId="5EED1FB7" w14:textId="77777777" w:rsidR="0078185C" w:rsidRDefault="00000000">
      <w:pPr>
        <w:numPr>
          <w:ilvl w:val="0"/>
          <w:numId w:val="1"/>
        </w:numPr>
        <w:rPr>
          <w:rFonts w:eastAsia="MS Mincho"/>
        </w:rPr>
      </w:pPr>
      <w:r>
        <w:rPr>
          <w:rFonts w:eastAsia="MS Mincho"/>
        </w:rPr>
        <w:t xml:space="preserve">VNP17A2GF - Product Short Name for the 8-day Gap-Filled VNP GPP and </w:t>
      </w:r>
      <w:proofErr w:type="spellStart"/>
      <w:r>
        <w:rPr>
          <w:rFonts w:eastAsia="MS Mincho"/>
        </w:rPr>
        <w:t>PsnNet</w:t>
      </w:r>
      <w:proofErr w:type="spellEnd"/>
    </w:p>
    <w:p w14:paraId="3FF17A99" w14:textId="77777777" w:rsidR="0078185C" w:rsidRDefault="00000000">
      <w:pPr>
        <w:numPr>
          <w:ilvl w:val="0"/>
          <w:numId w:val="1"/>
        </w:numPr>
        <w:rPr>
          <w:rFonts w:eastAsia="MS Mincho"/>
        </w:rPr>
      </w:pPr>
      <w:r>
        <w:rPr>
          <w:rFonts w:eastAsia="MS Mincho"/>
        </w:rPr>
        <w:t>A2018193 - Julian Date of the Start Date of the 8-day Period (AYYYYDDD)</w:t>
      </w:r>
    </w:p>
    <w:p w14:paraId="6C8022CD" w14:textId="77777777" w:rsidR="0078185C" w:rsidRDefault="00000000">
      <w:pPr>
        <w:numPr>
          <w:ilvl w:val="0"/>
          <w:numId w:val="1"/>
        </w:numPr>
        <w:rPr>
          <w:rFonts w:eastAsia="MS Mincho"/>
        </w:rPr>
      </w:pPr>
      <w:r>
        <w:rPr>
          <w:rFonts w:eastAsia="MS Mincho"/>
        </w:rPr>
        <w:t>h11v08 – 10-Degree Tile Location (</w:t>
      </w:r>
      <w:proofErr w:type="spellStart"/>
      <w:r>
        <w:rPr>
          <w:rFonts w:eastAsia="MS Mincho"/>
        </w:rPr>
        <w:t>hxxvxx</w:t>
      </w:r>
      <w:proofErr w:type="spellEnd"/>
      <w:r>
        <w:rPr>
          <w:rFonts w:eastAsia="MS Mincho"/>
        </w:rPr>
        <w:t>)</w:t>
      </w:r>
    </w:p>
    <w:p w14:paraId="4B07B298" w14:textId="77777777" w:rsidR="0078185C" w:rsidRDefault="00000000">
      <w:pPr>
        <w:numPr>
          <w:ilvl w:val="0"/>
          <w:numId w:val="1"/>
        </w:numPr>
        <w:rPr>
          <w:rFonts w:eastAsia="MS Mincho"/>
        </w:rPr>
      </w:pPr>
      <w:r>
        <w:rPr>
          <w:rFonts w:eastAsia="MS Mincho"/>
        </w:rPr>
        <w:t>002 - Collection Version</w:t>
      </w:r>
    </w:p>
    <w:p w14:paraId="65D2F231" w14:textId="4148CE96" w:rsidR="0078185C" w:rsidRDefault="006C7E16">
      <w:pPr>
        <w:numPr>
          <w:ilvl w:val="0"/>
          <w:numId w:val="1"/>
        </w:numPr>
        <w:rPr>
          <w:rFonts w:eastAsia="MS Mincho"/>
        </w:rPr>
      </w:pPr>
      <w:r w:rsidRPr="006C7E16">
        <w:rPr>
          <w:rFonts w:eastAsia="MS Mincho"/>
        </w:rPr>
        <w:t>2024267211501</w:t>
      </w:r>
      <w:r>
        <w:rPr>
          <w:rFonts w:eastAsia="MS Mincho"/>
        </w:rPr>
        <w:t> - Julian Date of File Creation (YYYYDDDHHMMSS)</w:t>
      </w:r>
    </w:p>
    <w:p w14:paraId="6C195E2E" w14:textId="77777777" w:rsidR="0078185C" w:rsidRDefault="00000000">
      <w:pPr>
        <w:numPr>
          <w:ilvl w:val="0"/>
          <w:numId w:val="1"/>
        </w:numPr>
        <w:rPr>
          <w:rFonts w:eastAsia="MS Mincho"/>
        </w:rPr>
      </w:pPr>
      <w:r>
        <w:rPr>
          <w:rFonts w:eastAsia="MS Mincho"/>
        </w:rPr>
        <w:t>.h5 - Data Format (HDF-EOS5)</w:t>
      </w:r>
    </w:p>
    <w:p w14:paraId="6BDFDFC2" w14:textId="77777777" w:rsidR="0078185C" w:rsidRDefault="0078185C">
      <w:pPr>
        <w:pStyle w:val="PlainText"/>
        <w:jc w:val="both"/>
        <w:rPr>
          <w:rFonts w:ascii="Times New Roman" w:eastAsia="MS Mincho" w:hAnsi="Times New Roman" w:cs="Times New Roman"/>
          <w:sz w:val="24"/>
          <w:szCs w:val="24"/>
        </w:rPr>
      </w:pPr>
    </w:p>
    <w:p w14:paraId="1E7FEFB9" w14:textId="60D50B11" w:rsidR="0078185C" w:rsidRDefault="00000000">
      <w:pPr>
        <w:rPr>
          <w:rFonts w:eastAsia="MS Mincho"/>
        </w:rPr>
      </w:pPr>
      <w:r>
        <w:rPr>
          <w:rFonts w:eastAsia="MS Mincho"/>
        </w:rPr>
        <w:t>In another example of an 8-day forward VJ117A2 product, the filename </w:t>
      </w:r>
      <w:r w:rsidR="006C7E16" w:rsidRPr="006C7E16">
        <w:rPr>
          <w:rFonts w:eastAsia="MS Mincho"/>
        </w:rPr>
        <w:t>VJ117A2.A2018193.h09v05.</w:t>
      </w:r>
      <w:proofErr w:type="gramStart"/>
      <w:r w:rsidR="006C7E16" w:rsidRPr="006C7E16">
        <w:rPr>
          <w:rFonts w:eastAsia="MS Mincho"/>
        </w:rPr>
        <w:t>002.2024267210152.h</w:t>
      </w:r>
      <w:proofErr w:type="gramEnd"/>
      <w:r w:rsidR="006C7E16" w:rsidRPr="006C7E16">
        <w:rPr>
          <w:rFonts w:eastAsia="MS Mincho"/>
        </w:rPr>
        <w:t>5</w:t>
      </w:r>
      <w:r w:rsidR="006C7E16">
        <w:rPr>
          <w:rFonts w:eastAsia="MS Mincho"/>
        </w:rPr>
        <w:t xml:space="preserve"> </w:t>
      </w:r>
      <w:r>
        <w:rPr>
          <w:rFonts w:eastAsia="MS Mincho"/>
        </w:rPr>
        <w:t>denotes:</w:t>
      </w:r>
    </w:p>
    <w:p w14:paraId="7D3F2A62" w14:textId="77777777" w:rsidR="0078185C" w:rsidRDefault="00000000">
      <w:pPr>
        <w:numPr>
          <w:ilvl w:val="0"/>
          <w:numId w:val="1"/>
        </w:numPr>
        <w:rPr>
          <w:rFonts w:eastAsia="MS Mincho"/>
        </w:rPr>
      </w:pPr>
      <w:r>
        <w:rPr>
          <w:rFonts w:eastAsia="MS Mincho"/>
        </w:rPr>
        <w:t xml:space="preserve">VJ117A2 - Product Short Name for the 8-day forward VJ1 GPP and </w:t>
      </w:r>
      <w:proofErr w:type="spellStart"/>
      <w:r>
        <w:rPr>
          <w:rFonts w:eastAsia="MS Mincho"/>
        </w:rPr>
        <w:t>PsnNet</w:t>
      </w:r>
      <w:proofErr w:type="spellEnd"/>
    </w:p>
    <w:p w14:paraId="0CEF7730" w14:textId="77777777" w:rsidR="0078185C" w:rsidRDefault="00000000">
      <w:pPr>
        <w:numPr>
          <w:ilvl w:val="0"/>
          <w:numId w:val="1"/>
        </w:numPr>
        <w:rPr>
          <w:rFonts w:eastAsia="MS Mincho"/>
        </w:rPr>
      </w:pPr>
      <w:r>
        <w:rPr>
          <w:rFonts w:eastAsia="MS Mincho"/>
        </w:rPr>
        <w:t>A2018193 - Julian Date of the Start Date of the 8-day Period (AYYYYDDD)</w:t>
      </w:r>
    </w:p>
    <w:p w14:paraId="3AC13C9A" w14:textId="77777777" w:rsidR="0078185C" w:rsidRDefault="00000000">
      <w:pPr>
        <w:numPr>
          <w:ilvl w:val="0"/>
          <w:numId w:val="1"/>
        </w:numPr>
        <w:rPr>
          <w:rFonts w:eastAsia="MS Mincho"/>
        </w:rPr>
      </w:pPr>
      <w:r>
        <w:rPr>
          <w:rFonts w:eastAsia="MS Mincho"/>
        </w:rPr>
        <w:t>h09v05 – 10-Degree Tile Location (</w:t>
      </w:r>
      <w:proofErr w:type="spellStart"/>
      <w:r>
        <w:rPr>
          <w:rFonts w:eastAsia="MS Mincho"/>
        </w:rPr>
        <w:t>hxxvxx</w:t>
      </w:r>
      <w:proofErr w:type="spellEnd"/>
      <w:r>
        <w:rPr>
          <w:rFonts w:eastAsia="MS Mincho"/>
        </w:rPr>
        <w:t>)</w:t>
      </w:r>
    </w:p>
    <w:p w14:paraId="580009EA" w14:textId="77777777" w:rsidR="0078185C" w:rsidRDefault="00000000">
      <w:pPr>
        <w:numPr>
          <w:ilvl w:val="0"/>
          <w:numId w:val="1"/>
        </w:numPr>
        <w:rPr>
          <w:rFonts w:eastAsia="MS Mincho"/>
        </w:rPr>
      </w:pPr>
      <w:r>
        <w:rPr>
          <w:rFonts w:eastAsia="MS Mincho"/>
        </w:rPr>
        <w:t>002 - Collection Version</w:t>
      </w:r>
    </w:p>
    <w:p w14:paraId="4778DAF3" w14:textId="5E05A3CF" w:rsidR="0078185C" w:rsidRDefault="006C7E16">
      <w:pPr>
        <w:numPr>
          <w:ilvl w:val="0"/>
          <w:numId w:val="1"/>
        </w:numPr>
        <w:rPr>
          <w:rFonts w:eastAsia="MS Mincho"/>
        </w:rPr>
      </w:pPr>
      <w:r w:rsidRPr="006C7E16">
        <w:rPr>
          <w:rFonts w:eastAsia="MS Mincho"/>
        </w:rPr>
        <w:t>2024267210152</w:t>
      </w:r>
      <w:r>
        <w:rPr>
          <w:rFonts w:eastAsia="MS Mincho"/>
        </w:rPr>
        <w:t> - Julian Date of File Creation (YYYYDDDHHMMSS)</w:t>
      </w:r>
    </w:p>
    <w:p w14:paraId="39C3E793" w14:textId="77777777" w:rsidR="0078185C" w:rsidRDefault="00000000">
      <w:pPr>
        <w:numPr>
          <w:ilvl w:val="0"/>
          <w:numId w:val="1"/>
        </w:numPr>
        <w:rPr>
          <w:rFonts w:eastAsia="MS Mincho"/>
        </w:rPr>
      </w:pPr>
      <w:r>
        <w:rPr>
          <w:rFonts w:eastAsia="MS Mincho"/>
        </w:rPr>
        <w:t>.h5 - Data Format (HDF-EOS5)</w:t>
      </w:r>
    </w:p>
    <w:p w14:paraId="41F9AE5E" w14:textId="77777777" w:rsidR="0078185C" w:rsidRDefault="0078185C">
      <w:pPr>
        <w:ind w:left="720"/>
        <w:rPr>
          <w:rFonts w:eastAsia="MS Mincho"/>
        </w:rPr>
      </w:pPr>
    </w:p>
    <w:p w14:paraId="49D005BA" w14:textId="0FE2CC05" w:rsidR="0078185C" w:rsidRDefault="00000000">
      <w:pPr>
        <w:rPr>
          <w:rFonts w:eastAsia="MS Mincho"/>
        </w:rPr>
      </w:pPr>
      <w:r>
        <w:rPr>
          <w:rFonts w:eastAsia="MS Mincho"/>
        </w:rPr>
        <w:t>In another example of an annual Gap-Filled VJ117A3GF product, the filename </w:t>
      </w:r>
      <w:r w:rsidR="006C7E16" w:rsidRPr="006C7E16">
        <w:rPr>
          <w:rFonts w:eastAsia="MS Mincho"/>
        </w:rPr>
        <w:t>VJ117A3GF.A2018001.h09v05.</w:t>
      </w:r>
      <w:proofErr w:type="gramStart"/>
      <w:r w:rsidR="006C7E16" w:rsidRPr="006C7E16">
        <w:rPr>
          <w:rFonts w:eastAsia="MS Mincho"/>
        </w:rPr>
        <w:t>002.2024269131907.h</w:t>
      </w:r>
      <w:proofErr w:type="gramEnd"/>
      <w:r w:rsidR="006C7E16" w:rsidRPr="006C7E16">
        <w:rPr>
          <w:rFonts w:eastAsia="MS Mincho"/>
        </w:rPr>
        <w:t>5</w:t>
      </w:r>
      <w:r w:rsidR="006C7E16">
        <w:rPr>
          <w:rFonts w:eastAsia="MS Mincho"/>
        </w:rPr>
        <w:t xml:space="preserve"> </w:t>
      </w:r>
      <w:r>
        <w:rPr>
          <w:rFonts w:eastAsia="MS Mincho"/>
        </w:rPr>
        <w:t>suggests:</w:t>
      </w:r>
    </w:p>
    <w:p w14:paraId="44F0DB03" w14:textId="77777777" w:rsidR="0078185C" w:rsidRDefault="00000000">
      <w:pPr>
        <w:numPr>
          <w:ilvl w:val="0"/>
          <w:numId w:val="1"/>
        </w:numPr>
        <w:rPr>
          <w:rFonts w:eastAsia="MS Mincho"/>
        </w:rPr>
      </w:pPr>
      <w:r>
        <w:rPr>
          <w:rFonts w:eastAsia="MS Mincho"/>
        </w:rPr>
        <w:t>VJ117A3GF - Product Short Name for the Gap-Filled Annual VJ1 GPP and NPP</w:t>
      </w:r>
    </w:p>
    <w:p w14:paraId="2E6CB60F" w14:textId="77777777" w:rsidR="0078185C" w:rsidRDefault="00000000">
      <w:pPr>
        <w:numPr>
          <w:ilvl w:val="0"/>
          <w:numId w:val="1"/>
        </w:numPr>
        <w:rPr>
          <w:rFonts w:eastAsia="MS Mincho"/>
        </w:rPr>
      </w:pPr>
      <w:r>
        <w:rPr>
          <w:rFonts w:eastAsia="MS Mincho"/>
        </w:rPr>
        <w:t>A2018001 - Julian Date of the Start Date of the Annual Period (AYYYYDDD)</w:t>
      </w:r>
    </w:p>
    <w:p w14:paraId="1936C60C" w14:textId="77777777" w:rsidR="0078185C" w:rsidRDefault="00000000">
      <w:pPr>
        <w:numPr>
          <w:ilvl w:val="0"/>
          <w:numId w:val="1"/>
        </w:numPr>
        <w:rPr>
          <w:rFonts w:eastAsia="MS Mincho"/>
        </w:rPr>
      </w:pPr>
      <w:r>
        <w:rPr>
          <w:rFonts w:eastAsia="MS Mincho"/>
        </w:rPr>
        <w:t>h09v05 – 10-Degree Tile Location (</w:t>
      </w:r>
      <w:proofErr w:type="spellStart"/>
      <w:r>
        <w:rPr>
          <w:rFonts w:eastAsia="MS Mincho"/>
        </w:rPr>
        <w:t>hxxvxx</w:t>
      </w:r>
      <w:proofErr w:type="spellEnd"/>
      <w:r>
        <w:rPr>
          <w:rFonts w:eastAsia="MS Mincho"/>
        </w:rPr>
        <w:t>)</w:t>
      </w:r>
    </w:p>
    <w:p w14:paraId="52D65B43" w14:textId="77777777" w:rsidR="0078185C" w:rsidRDefault="00000000">
      <w:pPr>
        <w:numPr>
          <w:ilvl w:val="0"/>
          <w:numId w:val="1"/>
        </w:numPr>
        <w:rPr>
          <w:rFonts w:eastAsia="MS Mincho"/>
        </w:rPr>
      </w:pPr>
      <w:r>
        <w:rPr>
          <w:rFonts w:eastAsia="MS Mincho"/>
        </w:rPr>
        <w:t>002 - Collection Version</w:t>
      </w:r>
    </w:p>
    <w:p w14:paraId="471F26D5" w14:textId="6871B4DE" w:rsidR="0078185C" w:rsidRDefault="006C7E16">
      <w:pPr>
        <w:numPr>
          <w:ilvl w:val="0"/>
          <w:numId w:val="1"/>
        </w:numPr>
        <w:rPr>
          <w:rFonts w:eastAsia="MS Mincho"/>
        </w:rPr>
      </w:pPr>
      <w:r w:rsidRPr="006C7E16">
        <w:rPr>
          <w:rFonts w:eastAsia="MS Mincho"/>
        </w:rPr>
        <w:t>2024269131907</w:t>
      </w:r>
      <w:r>
        <w:rPr>
          <w:rFonts w:eastAsia="MS Mincho"/>
        </w:rPr>
        <w:t> - Julian Date of File Creation (YYYYDDDHHMMSS)</w:t>
      </w:r>
    </w:p>
    <w:p w14:paraId="6DFABF91" w14:textId="77777777" w:rsidR="0078185C" w:rsidRDefault="00000000">
      <w:pPr>
        <w:numPr>
          <w:ilvl w:val="0"/>
          <w:numId w:val="1"/>
        </w:numPr>
        <w:rPr>
          <w:rFonts w:eastAsia="MS Mincho"/>
        </w:rPr>
      </w:pPr>
      <w:r>
        <w:rPr>
          <w:rFonts w:eastAsia="MS Mincho"/>
        </w:rPr>
        <w:t>.h5 - Data Format (HDF-EOS5)</w:t>
      </w:r>
    </w:p>
    <w:p w14:paraId="00F03A6D" w14:textId="77777777" w:rsidR="0078185C" w:rsidRDefault="0078185C">
      <w:pPr>
        <w:pStyle w:val="PlainText"/>
        <w:jc w:val="both"/>
        <w:rPr>
          <w:rFonts w:ascii="Times New Roman" w:eastAsia="MS Mincho" w:hAnsi="Times New Roman" w:cs="Times New Roman"/>
          <w:sz w:val="24"/>
          <w:szCs w:val="24"/>
        </w:rPr>
      </w:pPr>
    </w:p>
    <w:p w14:paraId="64B3CCF9" w14:textId="77777777" w:rsidR="0078185C" w:rsidRDefault="00000000">
      <w:pPr>
        <w:pStyle w:val="Heading2"/>
        <w:rPr>
          <w:lang w:val="es-ES"/>
        </w:rPr>
      </w:pPr>
      <w:bookmarkStart w:id="23" w:name="_Toc181041994"/>
      <w:r>
        <w:rPr>
          <w:lang w:val="es-ES"/>
        </w:rPr>
        <w:t>4.2. 8-day VNP17A2[GF]/VJ117A2[GF]</w:t>
      </w:r>
      <w:bookmarkEnd w:id="23"/>
    </w:p>
    <w:p w14:paraId="6930E822" w14:textId="77777777" w:rsidR="0078185C" w:rsidRDefault="0078185C">
      <w:pPr>
        <w:jc w:val="both"/>
        <w:rPr>
          <w:rFonts w:eastAsia="MS Mincho"/>
          <w:lang w:val="es-ES"/>
        </w:rPr>
      </w:pPr>
    </w:p>
    <w:p w14:paraId="277CD125" w14:textId="77777777" w:rsidR="0078185C" w:rsidRDefault="00000000">
      <w:pPr>
        <w:ind w:firstLine="720"/>
        <w:jc w:val="both"/>
        <w:rPr>
          <w:rFonts w:eastAsia="MS Mincho"/>
        </w:rPr>
      </w:pPr>
      <w:r>
        <w:rPr>
          <w:rFonts w:eastAsia="MS Mincho"/>
        </w:rPr>
        <w:t xml:space="preserve">Table 4.1 lists science data sets in the 8-day VNP17A2[GF]. Gpp_500m and PsnNet_500m are the summation of 8-day total GPP and net photosynthesis in carbon fixed by vegetation (0.0001 </w:t>
      </w:r>
      <w:proofErr w:type="spellStart"/>
      <w:r>
        <w:rPr>
          <w:rFonts w:eastAsia="MS Mincho"/>
        </w:rPr>
        <w:t>KgC</w:t>
      </w:r>
      <w:proofErr w:type="spellEnd"/>
      <w:r>
        <w:rPr>
          <w:rFonts w:eastAsia="MS Mincho"/>
        </w:rPr>
        <w:t xml:space="preserve">/m2/8day). </w:t>
      </w:r>
      <w:r w:rsidRPr="007274A9">
        <w:rPr>
          <w:rFonts w:eastAsia="MS Mincho"/>
          <w:i/>
          <w:iCs/>
          <w:u w:val="single"/>
        </w:rPr>
        <w:t>Be cautious that the last 8-day (VNP17A2[GF</w:t>
      </w:r>
      <w:proofErr w:type="gramStart"/>
      <w:r w:rsidRPr="007274A9">
        <w:rPr>
          <w:rFonts w:eastAsia="MS Mincho"/>
          <w:i/>
          <w:iCs/>
          <w:u w:val="single"/>
        </w:rPr>
        <w:t>].A</w:t>
      </w:r>
      <w:proofErr w:type="gramEnd"/>
      <w:r w:rsidRPr="007274A9">
        <w:rPr>
          <w:rFonts w:eastAsia="MS Mincho"/>
          <w:i/>
          <w:iCs/>
          <w:u w:val="single"/>
        </w:rPr>
        <w:t>20??361.*.h5) of each year is not 8-day but either 5-day or 6-day depending on normal or leap year</w:t>
      </w:r>
      <w:r>
        <w:rPr>
          <w:rFonts w:eastAsia="MS Mincho"/>
        </w:rPr>
        <w:t>.</w:t>
      </w:r>
    </w:p>
    <w:p w14:paraId="6745644C" w14:textId="77777777" w:rsidR="007274A9" w:rsidRDefault="007274A9">
      <w:pPr>
        <w:ind w:firstLine="720"/>
        <w:jc w:val="both"/>
        <w:rPr>
          <w:rFonts w:eastAsia="MS Mincho"/>
        </w:rPr>
      </w:pPr>
    </w:p>
    <w:p w14:paraId="2462EA4C" w14:textId="77777777" w:rsidR="0078185C" w:rsidRDefault="00000000">
      <w:pPr>
        <w:ind w:firstLine="720"/>
        <w:jc w:val="both"/>
        <w:rPr>
          <w:rFonts w:eastAsia="MS Mincho"/>
        </w:rPr>
      </w:pPr>
      <w:r>
        <w:rPr>
          <w:rFonts w:eastAsia="MS Mincho"/>
        </w:rPr>
        <w:t>As listed in Table 4.1, for valid data (</w:t>
      </w:r>
      <w:proofErr w:type="spellStart"/>
      <w:r>
        <w:rPr>
          <w:rFonts w:eastAsia="MS Mincho"/>
        </w:rPr>
        <w:t>Valid_data</w:t>
      </w:r>
      <w:proofErr w:type="spellEnd"/>
      <w:r>
        <w:rPr>
          <w:rFonts w:eastAsia="MS Mincho"/>
        </w:rPr>
        <w:t xml:space="preserve"> with the valid range) of VNP17A2[GF], the real value (</w:t>
      </w:r>
      <w:proofErr w:type="spellStart"/>
      <w:r>
        <w:rPr>
          <w:rFonts w:eastAsia="MS Mincho"/>
        </w:rPr>
        <w:t>Real_value</w:t>
      </w:r>
      <w:proofErr w:type="spellEnd"/>
      <w:r>
        <w:rPr>
          <w:rFonts w:eastAsia="MS Mincho"/>
        </w:rPr>
        <w:t xml:space="preserve">) of each data set (Gpp_500m, PsnNet_500m) in the units of </w:t>
      </w:r>
      <w:proofErr w:type="spellStart"/>
      <w:r>
        <w:rPr>
          <w:rFonts w:eastAsia="MS Mincho"/>
        </w:rPr>
        <w:t>kgC</w:t>
      </w:r>
      <w:proofErr w:type="spellEnd"/>
      <w:r>
        <w:rPr>
          <w:rFonts w:eastAsia="MS Mincho"/>
        </w:rPr>
        <w:t>/m</w:t>
      </w:r>
      <w:r>
        <w:rPr>
          <w:rFonts w:eastAsia="MS Mincho"/>
          <w:vertAlign w:val="superscript"/>
        </w:rPr>
        <w:t>2</w:t>
      </w:r>
      <w:r>
        <w:rPr>
          <w:rFonts w:eastAsia="MS Mincho"/>
        </w:rPr>
        <w:t>/8d can be calculated using the following equation,</w:t>
      </w:r>
    </w:p>
    <w:p w14:paraId="20E36DAB" w14:textId="77777777" w:rsidR="0078185C" w:rsidRDefault="0078185C">
      <w:pPr>
        <w:jc w:val="both"/>
        <w:rPr>
          <w:rFonts w:eastAsia="MS Mincho"/>
        </w:rPr>
      </w:pPr>
    </w:p>
    <w:p w14:paraId="55DDAA87" w14:textId="54C46824" w:rsidR="0078185C" w:rsidRDefault="00000000">
      <w:pPr>
        <w:jc w:val="both"/>
        <w:rPr>
          <w:rFonts w:eastAsia="MS Mincho"/>
        </w:rPr>
      </w:pPr>
      <w:r>
        <w:rPr>
          <w:rFonts w:eastAsia="MS Mincho"/>
        </w:rPr>
        <w:t xml:space="preserve">          </w:t>
      </w:r>
      <w:proofErr w:type="spellStart"/>
      <w:r>
        <w:rPr>
          <w:rFonts w:eastAsia="MS Mincho"/>
        </w:rPr>
        <w:t>Real_value</w:t>
      </w:r>
      <w:proofErr w:type="spellEnd"/>
      <w:r>
        <w:rPr>
          <w:rFonts w:eastAsia="MS Mincho"/>
        </w:rPr>
        <w:t xml:space="preserve"> = </w:t>
      </w:r>
      <w:proofErr w:type="spellStart"/>
      <w:r>
        <w:rPr>
          <w:rFonts w:eastAsia="MS Mincho"/>
        </w:rPr>
        <w:t>Valid_data</w:t>
      </w:r>
      <w:proofErr w:type="spellEnd"/>
      <w:r>
        <w:rPr>
          <w:rFonts w:eastAsia="MS Mincho"/>
        </w:rPr>
        <w:t xml:space="preserve"> * </w:t>
      </w:r>
      <w:proofErr w:type="spellStart"/>
      <w:r>
        <w:rPr>
          <w:rFonts w:eastAsia="MS Mincho"/>
        </w:rPr>
        <w:t>Scale_Factor</w:t>
      </w:r>
      <w:proofErr w:type="spellEnd"/>
      <w:r>
        <w:rPr>
          <w:rFonts w:eastAsia="MS Mincho"/>
        </w:rPr>
        <w:t xml:space="preserve">                                                              </w:t>
      </w:r>
      <w:r w:rsidR="007E3FD4">
        <w:rPr>
          <w:rFonts w:eastAsia="MS Mincho"/>
        </w:rPr>
        <w:tab/>
      </w:r>
      <w:r w:rsidR="007E3FD4">
        <w:rPr>
          <w:rFonts w:eastAsia="MS Mincho"/>
          <w:b/>
          <w:bCs/>
        </w:rPr>
        <w:t>(4.1)</w:t>
      </w:r>
    </w:p>
    <w:p w14:paraId="19E7B76C" w14:textId="77777777" w:rsidR="007274A9" w:rsidRDefault="007274A9">
      <w:pPr>
        <w:jc w:val="both"/>
        <w:rPr>
          <w:rFonts w:eastAsia="MS Mincho"/>
        </w:rPr>
      </w:pPr>
    </w:p>
    <w:p w14:paraId="32D85219" w14:textId="742D1882" w:rsidR="0078185C" w:rsidRPr="007274A9" w:rsidRDefault="007274A9" w:rsidP="007274A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ab/>
        <w:t>All data sets in VNP17A2[GF], except Quality Control (QC) data field, both Gpp_500m and Psn_QC_500m have valid value ranging from -32768 to 32700 and are saved in signed 2-byte short integer (int16). Though data attributes list just one _</w:t>
      </w:r>
      <w:proofErr w:type="spellStart"/>
      <w:r>
        <w:rPr>
          <w:rFonts w:eastAsia="MS Mincho"/>
        </w:rPr>
        <w:t>FillValue</w:t>
      </w:r>
      <w:proofErr w:type="spellEnd"/>
      <w:r>
        <w:rPr>
          <w:rFonts w:eastAsia="MS Mincho"/>
        </w:rPr>
        <w:t xml:space="preserve">: 32767 in the head file of VNP17A2[GF] file, there are, in fact, 7 fill values listed below for non-vegetated pixels, which we didn’t calculate GPP or </w:t>
      </w:r>
      <w:proofErr w:type="spellStart"/>
      <w:r>
        <w:rPr>
          <w:rFonts w:eastAsia="MS Mincho"/>
        </w:rPr>
        <w:t>PSN</w:t>
      </w:r>
      <w:r>
        <w:rPr>
          <w:rFonts w:eastAsia="MS Mincho"/>
          <w:vertAlign w:val="subscript"/>
        </w:rPr>
        <w:t>net</w:t>
      </w:r>
      <w:proofErr w:type="spellEnd"/>
      <w:r>
        <w:rPr>
          <w:rFonts w:eastAsia="MS Mincho"/>
        </w:rPr>
        <w:t>.</w:t>
      </w:r>
    </w:p>
    <w:p w14:paraId="2D0A6DD6" w14:textId="77777777" w:rsidR="0078185C" w:rsidRDefault="00000000">
      <w:pPr>
        <w:pStyle w:val="PlainText"/>
        <w:jc w:val="both"/>
        <w:rPr>
          <w:rFonts w:ascii="Times New Roman" w:eastAsia="MS Mincho" w:hAnsi="Times New Roman" w:cs="Times New Roman"/>
          <w:i/>
          <w:sz w:val="24"/>
          <w:szCs w:val="24"/>
        </w:rPr>
      </w:pPr>
      <w:r>
        <w:rPr>
          <w:rFonts w:ascii="Times New Roman" w:eastAsia="MS Mincho" w:hAnsi="Times New Roman" w:cs="Times New Roman"/>
          <w:b/>
          <w:i/>
          <w:sz w:val="24"/>
          <w:szCs w:val="24"/>
        </w:rPr>
        <w:lastRenderedPageBreak/>
        <w:t>Table 4.1.</w:t>
      </w:r>
      <w:r>
        <w:rPr>
          <w:rFonts w:ascii="Times New Roman" w:eastAsia="MS Mincho" w:hAnsi="Times New Roman" w:cs="Times New Roman"/>
          <w:i/>
          <w:sz w:val="24"/>
          <w:szCs w:val="24"/>
        </w:rPr>
        <w:t xml:space="preserve"> The detailed information on science data sets in VNP17A2[GF] or VJ117A2[GF]</w:t>
      </w:r>
    </w:p>
    <w:tbl>
      <w:tblPr>
        <w:tblStyle w:val="TableGrid"/>
        <w:tblW w:w="9360" w:type="dxa"/>
        <w:tblLook w:val="04A0" w:firstRow="1" w:lastRow="0" w:firstColumn="1" w:lastColumn="0" w:noHBand="0" w:noVBand="1"/>
      </w:tblPr>
      <w:tblGrid>
        <w:gridCol w:w="1880"/>
        <w:gridCol w:w="1899"/>
        <w:gridCol w:w="1430"/>
        <w:gridCol w:w="1261"/>
        <w:gridCol w:w="1800"/>
        <w:gridCol w:w="1090"/>
      </w:tblGrid>
      <w:tr w:rsidR="0078185C" w14:paraId="352A5E0B" w14:textId="77777777">
        <w:tc>
          <w:tcPr>
            <w:tcW w:w="1879" w:type="dxa"/>
          </w:tcPr>
          <w:p w14:paraId="62D41998"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Data Sets</w:t>
            </w:r>
          </w:p>
        </w:tc>
        <w:tc>
          <w:tcPr>
            <w:tcW w:w="1899" w:type="dxa"/>
          </w:tcPr>
          <w:p w14:paraId="0FBE1196"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Meaning</w:t>
            </w:r>
          </w:p>
        </w:tc>
        <w:tc>
          <w:tcPr>
            <w:tcW w:w="1430" w:type="dxa"/>
          </w:tcPr>
          <w:p w14:paraId="1D34F5CC"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Units</w:t>
            </w:r>
          </w:p>
        </w:tc>
        <w:tc>
          <w:tcPr>
            <w:tcW w:w="1261" w:type="dxa"/>
          </w:tcPr>
          <w:p w14:paraId="0B284BF8" w14:textId="4739A2F4"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Dat</w:t>
            </w:r>
            <w:r w:rsidR="0017738F">
              <w:rPr>
                <w:rFonts w:ascii="Times New Roman" w:eastAsia="MS Mincho" w:hAnsi="Times New Roman" w:cs="Times New Roman"/>
                <w:sz w:val="24"/>
                <w:szCs w:val="24"/>
              </w:rPr>
              <w:t>a</w:t>
            </w:r>
            <w:r>
              <w:rPr>
                <w:rFonts w:ascii="Times New Roman" w:eastAsia="MS Mincho" w:hAnsi="Times New Roman" w:cs="Times New Roman"/>
                <w:sz w:val="24"/>
                <w:szCs w:val="24"/>
              </w:rPr>
              <w:t xml:space="preserve"> Type</w:t>
            </w:r>
          </w:p>
        </w:tc>
        <w:tc>
          <w:tcPr>
            <w:tcW w:w="1800" w:type="dxa"/>
          </w:tcPr>
          <w:p w14:paraId="0844339D"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Valid Range</w:t>
            </w:r>
          </w:p>
        </w:tc>
        <w:tc>
          <w:tcPr>
            <w:tcW w:w="1090" w:type="dxa"/>
          </w:tcPr>
          <w:p w14:paraId="13B106E2" w14:textId="77777777" w:rsidR="0078185C" w:rsidRDefault="00000000">
            <w:pPr>
              <w:pStyle w:val="PlainText"/>
              <w:tabs>
                <w:tab w:val="left" w:pos="1332"/>
              </w:tabs>
              <w:jc w:val="both"/>
              <w:rPr>
                <w:rFonts w:ascii="Times New Roman" w:eastAsia="MS Mincho" w:hAnsi="Times New Roman" w:cs="Times New Roman"/>
                <w:sz w:val="24"/>
                <w:szCs w:val="24"/>
              </w:rPr>
            </w:pPr>
            <w:proofErr w:type="gramStart"/>
            <w:r>
              <w:rPr>
                <w:rFonts w:ascii="Times New Roman" w:eastAsia="MS Mincho" w:hAnsi="Times New Roman" w:cs="Times New Roman"/>
                <w:sz w:val="24"/>
                <w:szCs w:val="24"/>
              </w:rPr>
              <w:t>Scale  Factor</w:t>
            </w:r>
            <w:proofErr w:type="gramEnd"/>
          </w:p>
        </w:tc>
      </w:tr>
      <w:tr w:rsidR="0078185C" w14:paraId="506C4EDC" w14:textId="77777777">
        <w:tc>
          <w:tcPr>
            <w:tcW w:w="1879" w:type="dxa"/>
          </w:tcPr>
          <w:p w14:paraId="1AA5CB65"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Gpp_500m</w:t>
            </w:r>
          </w:p>
        </w:tc>
        <w:tc>
          <w:tcPr>
            <w:tcW w:w="1899" w:type="dxa"/>
          </w:tcPr>
          <w:p w14:paraId="550871DE"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8-day total GPP</w:t>
            </w:r>
          </w:p>
        </w:tc>
        <w:tc>
          <w:tcPr>
            <w:tcW w:w="1430" w:type="dxa"/>
          </w:tcPr>
          <w:p w14:paraId="2D41ABC7" w14:textId="63041FF9" w:rsidR="0078185C" w:rsidRDefault="000B09FC">
            <w:pPr>
              <w:pStyle w:val="PlainText"/>
              <w:tabs>
                <w:tab w:val="left" w:pos="1332"/>
              </w:tabs>
              <w:jc w:val="both"/>
              <w:rPr>
                <w:rFonts w:ascii="Times New Roman" w:eastAsia="MS Mincho" w:hAnsi="Times New Roman" w:cs="Times New Roman"/>
                <w:sz w:val="24"/>
                <w:szCs w:val="24"/>
              </w:rPr>
            </w:pPr>
            <w:proofErr w:type="spellStart"/>
            <w:r>
              <w:rPr>
                <w:rFonts w:ascii="Times New Roman" w:eastAsia="MS Mincho" w:hAnsi="Times New Roman" w:cs="Times New Roman"/>
                <w:sz w:val="24"/>
                <w:szCs w:val="24"/>
              </w:rPr>
              <w:t>kg</w:t>
            </w:r>
            <w:r w:rsidR="003F470C">
              <w:rPr>
                <w:rFonts w:ascii="Times New Roman" w:eastAsia="MS Mincho" w:hAnsi="Times New Roman" w:cs="Times New Roman"/>
                <w:sz w:val="24"/>
                <w:szCs w:val="24"/>
              </w:rPr>
              <w:t>_</w:t>
            </w:r>
            <w:r>
              <w:rPr>
                <w:rFonts w:ascii="Times New Roman" w:eastAsia="MS Mincho" w:hAnsi="Times New Roman" w:cs="Times New Roman"/>
                <w:sz w:val="24"/>
                <w:szCs w:val="24"/>
              </w:rPr>
              <w:t>C</w:t>
            </w:r>
            <w:proofErr w:type="spellEnd"/>
            <w:r>
              <w:rPr>
                <w:rFonts w:ascii="Times New Roman" w:eastAsia="MS Mincho" w:hAnsi="Times New Roman" w:cs="Times New Roman"/>
                <w:sz w:val="24"/>
                <w:szCs w:val="24"/>
              </w:rPr>
              <w:t>/m</w:t>
            </w:r>
            <w:r>
              <w:rPr>
                <w:rFonts w:ascii="Times New Roman" w:eastAsia="MS Mincho" w:hAnsi="Times New Roman" w:cs="Times New Roman"/>
                <w:sz w:val="24"/>
                <w:szCs w:val="24"/>
                <w:vertAlign w:val="superscript"/>
              </w:rPr>
              <w:t>2</w:t>
            </w:r>
          </w:p>
        </w:tc>
        <w:tc>
          <w:tcPr>
            <w:tcW w:w="1261" w:type="dxa"/>
          </w:tcPr>
          <w:p w14:paraId="393F75E3" w14:textId="21611C4B"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int16</w:t>
            </w:r>
          </w:p>
        </w:tc>
        <w:tc>
          <w:tcPr>
            <w:tcW w:w="1800" w:type="dxa"/>
          </w:tcPr>
          <w:p w14:paraId="3BE5381C" w14:textId="747B6E30" w:rsidR="0078185C" w:rsidRDefault="003F470C">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-32768</w:t>
            </w:r>
            <w:r w:rsidR="00F67F6E">
              <w:rPr>
                <w:rFonts w:ascii="Times New Roman" w:eastAsia="MS Mincho" w:hAnsi="Times New Roman" w:cs="Times New Roman"/>
                <w:sz w:val="24"/>
                <w:szCs w:val="24"/>
              </w:rPr>
              <w:t xml:space="preserve"> ~ 3</w:t>
            </w:r>
            <w:r w:rsidR="007E05A2">
              <w:rPr>
                <w:rFonts w:ascii="Times New Roman" w:eastAsia="MS Mincho" w:hAnsi="Times New Roman" w:cs="Times New Roman"/>
                <w:sz w:val="24"/>
                <w:szCs w:val="24"/>
              </w:rPr>
              <w:t>27</w:t>
            </w:r>
            <w:r w:rsidR="00F67F6E">
              <w:rPr>
                <w:rFonts w:ascii="Times New Roman" w:eastAsia="MS Mincho" w:hAnsi="Times New Roman" w:cs="Times New Roman"/>
                <w:sz w:val="24"/>
                <w:szCs w:val="24"/>
              </w:rPr>
              <w:t>00</w:t>
            </w:r>
          </w:p>
        </w:tc>
        <w:tc>
          <w:tcPr>
            <w:tcW w:w="1090" w:type="dxa"/>
          </w:tcPr>
          <w:p w14:paraId="0817A2AF"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0.0001</w:t>
            </w:r>
          </w:p>
        </w:tc>
      </w:tr>
      <w:tr w:rsidR="0078185C" w14:paraId="1FBC7517" w14:textId="77777777">
        <w:tc>
          <w:tcPr>
            <w:tcW w:w="1879" w:type="dxa"/>
          </w:tcPr>
          <w:p w14:paraId="4EDCE967"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PsnNet_500m</w:t>
            </w:r>
          </w:p>
        </w:tc>
        <w:tc>
          <w:tcPr>
            <w:tcW w:w="1899" w:type="dxa"/>
          </w:tcPr>
          <w:p w14:paraId="663495E1"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8-day total Net Photosynthesis</w:t>
            </w:r>
          </w:p>
        </w:tc>
        <w:tc>
          <w:tcPr>
            <w:tcW w:w="1430" w:type="dxa"/>
          </w:tcPr>
          <w:p w14:paraId="2540F820" w14:textId="5B812DB1" w:rsidR="0078185C" w:rsidRDefault="000B09FC">
            <w:pPr>
              <w:pStyle w:val="PlainText"/>
              <w:tabs>
                <w:tab w:val="left" w:pos="1332"/>
              </w:tabs>
              <w:jc w:val="both"/>
              <w:rPr>
                <w:rFonts w:ascii="Times New Roman" w:eastAsia="MS Mincho" w:hAnsi="Times New Roman" w:cs="Times New Roman"/>
                <w:sz w:val="24"/>
                <w:szCs w:val="24"/>
              </w:rPr>
            </w:pPr>
            <w:proofErr w:type="spellStart"/>
            <w:r>
              <w:rPr>
                <w:rFonts w:ascii="Times New Roman" w:eastAsia="MS Mincho" w:hAnsi="Times New Roman" w:cs="Times New Roman"/>
                <w:sz w:val="24"/>
                <w:szCs w:val="24"/>
              </w:rPr>
              <w:t>kg</w:t>
            </w:r>
            <w:r w:rsidR="003F470C">
              <w:rPr>
                <w:rFonts w:ascii="Times New Roman" w:eastAsia="MS Mincho" w:hAnsi="Times New Roman" w:cs="Times New Roman"/>
                <w:sz w:val="24"/>
                <w:szCs w:val="24"/>
              </w:rPr>
              <w:t>_</w:t>
            </w:r>
            <w:r>
              <w:rPr>
                <w:rFonts w:ascii="Times New Roman" w:eastAsia="MS Mincho" w:hAnsi="Times New Roman" w:cs="Times New Roman"/>
                <w:sz w:val="24"/>
                <w:szCs w:val="24"/>
              </w:rPr>
              <w:t>C</w:t>
            </w:r>
            <w:proofErr w:type="spellEnd"/>
            <w:r>
              <w:rPr>
                <w:rFonts w:ascii="Times New Roman" w:eastAsia="MS Mincho" w:hAnsi="Times New Roman" w:cs="Times New Roman"/>
                <w:sz w:val="24"/>
                <w:szCs w:val="24"/>
              </w:rPr>
              <w:t>/m</w:t>
            </w:r>
            <w:r>
              <w:rPr>
                <w:rFonts w:ascii="Times New Roman" w:eastAsia="MS Mincho" w:hAnsi="Times New Roman" w:cs="Times New Roman"/>
                <w:sz w:val="24"/>
                <w:szCs w:val="24"/>
                <w:vertAlign w:val="superscript"/>
              </w:rPr>
              <w:t>2</w:t>
            </w:r>
          </w:p>
        </w:tc>
        <w:tc>
          <w:tcPr>
            <w:tcW w:w="1261" w:type="dxa"/>
          </w:tcPr>
          <w:p w14:paraId="17BB7352" w14:textId="7D67172E"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int16</w:t>
            </w:r>
          </w:p>
        </w:tc>
        <w:tc>
          <w:tcPr>
            <w:tcW w:w="1800" w:type="dxa"/>
          </w:tcPr>
          <w:p w14:paraId="139F9A7B" w14:textId="1E285D09"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-3</w:t>
            </w:r>
            <w:r w:rsidR="00AA4341">
              <w:rPr>
                <w:rFonts w:ascii="Times New Roman" w:eastAsia="MS Mincho" w:hAnsi="Times New Roman" w:cs="Times New Roman"/>
                <w:sz w:val="24"/>
                <w:szCs w:val="24"/>
              </w:rPr>
              <w:t>2768</w:t>
            </w:r>
            <w:r>
              <w:rPr>
                <w:rFonts w:ascii="Times New Roman" w:eastAsia="MS Mincho" w:hAnsi="Times New Roman" w:cs="Times New Roman"/>
                <w:sz w:val="24"/>
                <w:szCs w:val="24"/>
              </w:rPr>
              <w:t xml:space="preserve"> ~ 3</w:t>
            </w:r>
            <w:r w:rsidR="00AA4341">
              <w:rPr>
                <w:rFonts w:ascii="Times New Roman" w:eastAsia="MS Mincho" w:hAnsi="Times New Roman" w:cs="Times New Roman"/>
                <w:sz w:val="24"/>
                <w:szCs w:val="24"/>
              </w:rPr>
              <w:t>27</w:t>
            </w:r>
            <w:r>
              <w:rPr>
                <w:rFonts w:ascii="Times New Roman" w:eastAsia="MS Mincho" w:hAnsi="Times New Roman" w:cs="Times New Roman"/>
                <w:sz w:val="24"/>
                <w:szCs w:val="24"/>
              </w:rPr>
              <w:t>00</w:t>
            </w:r>
          </w:p>
        </w:tc>
        <w:tc>
          <w:tcPr>
            <w:tcW w:w="1090" w:type="dxa"/>
          </w:tcPr>
          <w:p w14:paraId="6229ABE2"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0.0001</w:t>
            </w:r>
          </w:p>
        </w:tc>
      </w:tr>
      <w:tr w:rsidR="0078185C" w14:paraId="13ADE5A9" w14:textId="77777777">
        <w:tc>
          <w:tcPr>
            <w:tcW w:w="1879" w:type="dxa"/>
          </w:tcPr>
          <w:p w14:paraId="2E8AF773"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Psn_QC_500m</w:t>
            </w:r>
          </w:p>
        </w:tc>
        <w:tc>
          <w:tcPr>
            <w:tcW w:w="1899" w:type="dxa"/>
          </w:tcPr>
          <w:p w14:paraId="7ACA64D1"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Quality Control</w:t>
            </w:r>
          </w:p>
        </w:tc>
        <w:tc>
          <w:tcPr>
            <w:tcW w:w="1430" w:type="dxa"/>
          </w:tcPr>
          <w:p w14:paraId="63CD5941" w14:textId="6253B466" w:rsidR="0078185C" w:rsidRDefault="003F470C">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None</w:t>
            </w:r>
          </w:p>
        </w:tc>
        <w:tc>
          <w:tcPr>
            <w:tcW w:w="1261" w:type="dxa"/>
          </w:tcPr>
          <w:p w14:paraId="59613358"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uint8</w:t>
            </w:r>
          </w:p>
        </w:tc>
        <w:tc>
          <w:tcPr>
            <w:tcW w:w="1800" w:type="dxa"/>
          </w:tcPr>
          <w:p w14:paraId="2C284F6D"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0 ~ 254</w:t>
            </w:r>
          </w:p>
        </w:tc>
        <w:tc>
          <w:tcPr>
            <w:tcW w:w="1090" w:type="dxa"/>
          </w:tcPr>
          <w:p w14:paraId="14E7FFA6" w14:textId="77777777" w:rsidR="0078185C" w:rsidRDefault="00000000">
            <w:pPr>
              <w:pStyle w:val="PlainText"/>
              <w:tabs>
                <w:tab w:val="left" w:pos="1332"/>
              </w:tabs>
              <w:jc w:val="both"/>
              <w:rPr>
                <w:rFonts w:ascii="Times New Roman" w:eastAsia="MS Mincho" w:hAnsi="Times New Roman" w:cs="Times New Roman"/>
                <w:sz w:val="24"/>
                <w:szCs w:val="24"/>
              </w:rPr>
            </w:pPr>
            <w:r>
              <w:rPr>
                <w:rFonts w:ascii="Times New Roman" w:eastAsia="MS Mincho" w:hAnsi="Times New Roman" w:cs="Times New Roman"/>
                <w:sz w:val="24"/>
                <w:szCs w:val="24"/>
              </w:rPr>
              <w:t>none</w:t>
            </w:r>
          </w:p>
        </w:tc>
      </w:tr>
    </w:tbl>
    <w:p w14:paraId="0CE19BC3" w14:textId="77777777" w:rsidR="0078185C" w:rsidRDefault="0078185C">
      <w:pPr>
        <w:jc w:val="both"/>
        <w:rPr>
          <w:rFonts w:eastAsia="MS Mincho"/>
        </w:rPr>
      </w:pPr>
    </w:p>
    <w:p w14:paraId="63966B72"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p>
    <w:p w14:paraId="1EABE642"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32767 = _</w:t>
      </w:r>
      <w:proofErr w:type="spellStart"/>
      <w:r>
        <w:rPr>
          <w:rFonts w:eastAsia="MS Mincho"/>
        </w:rPr>
        <w:t>Fillvalue</w:t>
      </w:r>
      <w:proofErr w:type="spellEnd"/>
      <w:r>
        <w:rPr>
          <w:rFonts w:eastAsia="MS Mincho"/>
        </w:rPr>
        <w:t xml:space="preserve">             </w:t>
      </w:r>
    </w:p>
    <w:p w14:paraId="3DF7A736"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32766 = land cover assigned as perennial salt or Water bodies</w:t>
      </w:r>
    </w:p>
    <w:p w14:paraId="4ED7B83B"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32765 = land cover assigned as barren, sparse veg (rock, tundra, desert)</w:t>
      </w:r>
    </w:p>
    <w:p w14:paraId="603FD30E"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32764 = land cover assigned as perennial snow, ice.</w:t>
      </w:r>
    </w:p>
    <w:p w14:paraId="11417791"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32763 = land cover assigned as "permanent" wetlands/inundated marshland</w:t>
      </w:r>
    </w:p>
    <w:p w14:paraId="45849688"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32762 = land cover assigned as urban/built-up</w:t>
      </w:r>
    </w:p>
    <w:p w14:paraId="4F55F31A"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firstLine="420"/>
        <w:jc w:val="both"/>
        <w:rPr>
          <w:rFonts w:eastAsia="MS Mincho"/>
        </w:rPr>
      </w:pPr>
      <w:r>
        <w:rPr>
          <w:rFonts w:eastAsia="MS Mincho"/>
        </w:rPr>
        <w:t>32761 = land cover assigned as "unclassified" or (not able to determine)</w:t>
      </w:r>
    </w:p>
    <w:p w14:paraId="23536548"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firstLine="420"/>
        <w:jc w:val="both"/>
        <w:rPr>
          <w:rFonts w:eastAsia="MS Mincho"/>
        </w:rPr>
      </w:pPr>
    </w:p>
    <w:p w14:paraId="19B36F05" w14:textId="7D24607B" w:rsidR="001E7D55" w:rsidRDefault="001E7D55" w:rsidP="001E7D55">
      <w:pPr>
        <w:pStyle w:val="PlainText"/>
        <w:jc w:val="both"/>
        <w:rPr>
          <w:rFonts w:ascii="Times New Roman" w:eastAsia="MS Mincho" w:hAnsi="Times New Roman" w:cs="Times New Roman"/>
          <w:bCs/>
          <w:sz w:val="24"/>
          <w:szCs w:val="24"/>
        </w:rPr>
      </w:pPr>
      <w:r w:rsidRPr="00964083">
        <w:rPr>
          <w:rFonts w:ascii="Times New Roman" w:eastAsia="MS Mincho" w:hAnsi="Times New Roman" w:cs="Times New Roman"/>
          <w:bCs/>
          <w:sz w:val="24"/>
          <w:szCs w:val="24"/>
        </w:rPr>
        <w:t>Note</w:t>
      </w:r>
      <w:r w:rsidR="00551081">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two fill values</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251</w:t>
      </w:r>
      <w:r>
        <w:rPr>
          <w:rFonts w:ascii="Times New Roman" w:eastAsia="MS Mincho" w:hAnsi="Times New Roman" w:cs="Times New Roman"/>
          <w:bCs/>
          <w:sz w:val="24"/>
          <w:szCs w:val="24"/>
        </w:rPr>
        <w:t xml:space="preserve"> and</w:t>
      </w:r>
      <w:r w:rsidRPr="00964083">
        <w:rPr>
          <w:rFonts w:ascii="Times New Roman" w:eastAsia="MS Mincho" w:hAnsi="Times New Roman" w:cs="Times New Roman"/>
          <w:bCs/>
          <w:sz w:val="24"/>
          <w:szCs w:val="24"/>
        </w:rPr>
        <w:t xml:space="preserve"> 252</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in the VIIRS FPAR/LAI are mislabeled as 253, and as a result, the subsequent VIIRS </w:t>
      </w:r>
      <w:r w:rsidR="00551081">
        <w:rPr>
          <w:rFonts w:ascii="Times New Roman" w:eastAsia="MS Mincho" w:hAnsi="Times New Roman" w:cs="Times New Roman"/>
          <w:bCs/>
          <w:sz w:val="24"/>
          <w:szCs w:val="24"/>
        </w:rPr>
        <w:t>8-day</w:t>
      </w:r>
      <w:r w:rsidRPr="00964083">
        <w:rPr>
          <w:rFonts w:ascii="Times New Roman" w:eastAsia="MS Mincho" w:hAnsi="Times New Roman" w:cs="Times New Roman"/>
          <w:bCs/>
          <w:sz w:val="24"/>
          <w:szCs w:val="24"/>
        </w:rPr>
        <w:t xml:space="preserve"> </w:t>
      </w:r>
      <w:r>
        <w:rPr>
          <w:rFonts w:ascii="Times New Roman" w:eastAsia="MS Mincho" w:hAnsi="Times New Roman" w:cs="Times New Roman"/>
          <w:bCs/>
          <w:sz w:val="24"/>
          <w:szCs w:val="24"/>
        </w:rPr>
        <w:t xml:space="preserve">Gpp_500m and </w:t>
      </w:r>
      <w:r w:rsidR="00551081">
        <w:rPr>
          <w:rFonts w:ascii="Times New Roman" w:eastAsia="MS Mincho" w:hAnsi="Times New Roman" w:cs="Times New Roman"/>
          <w:bCs/>
          <w:sz w:val="24"/>
          <w:szCs w:val="24"/>
        </w:rPr>
        <w:t>PsnNet</w:t>
      </w:r>
      <w:r w:rsidRPr="00964083">
        <w:rPr>
          <w:rFonts w:ascii="Times New Roman" w:eastAsia="MS Mincho" w:hAnsi="Times New Roman" w:cs="Times New Roman"/>
          <w:bCs/>
          <w:sz w:val="24"/>
          <w:szCs w:val="24"/>
        </w:rPr>
        <w:t>_500m mislabeled two fill values</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w:t>
      </w:r>
      <w:r w:rsidR="00551081">
        <w:rPr>
          <w:rFonts w:ascii="Times New Roman" w:eastAsia="MS Mincho" w:hAnsi="Times New Roman" w:cs="Times New Roman"/>
          <w:bCs/>
          <w:sz w:val="24"/>
          <w:szCs w:val="24"/>
        </w:rPr>
        <w:t>32763 and 32764</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as </w:t>
      </w:r>
      <w:r w:rsidR="00551081">
        <w:rPr>
          <w:rFonts w:ascii="Times New Roman" w:eastAsia="MS Mincho" w:hAnsi="Times New Roman" w:cs="Times New Roman"/>
          <w:bCs/>
          <w:sz w:val="24"/>
          <w:szCs w:val="24"/>
        </w:rPr>
        <w:t>32765 because of data dependence</w:t>
      </w:r>
      <w:r w:rsidRPr="00964083">
        <w:rPr>
          <w:rFonts w:ascii="Times New Roman" w:eastAsia="MS Mincho" w:hAnsi="Times New Roman" w:cs="Times New Roman"/>
          <w:bCs/>
          <w:sz w:val="24"/>
          <w:szCs w:val="24"/>
        </w:rPr>
        <w:t>.</w:t>
      </w:r>
    </w:p>
    <w:p w14:paraId="6E933B96" w14:textId="77777777" w:rsidR="001E7D55" w:rsidRDefault="001E7D5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firstLine="420"/>
        <w:jc w:val="both"/>
        <w:rPr>
          <w:rFonts w:eastAsia="MS Mincho"/>
        </w:rPr>
      </w:pPr>
    </w:p>
    <w:p w14:paraId="438BB94C"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ab/>
        <w:t xml:space="preserve">The QC data layer, Psn_QC_500m, is bitfields data combined two QC data fields: </w:t>
      </w:r>
      <w:proofErr w:type="spellStart"/>
      <w:r>
        <w:rPr>
          <w:rFonts w:eastAsia="MS Mincho"/>
        </w:rPr>
        <w:t>FparLai_QC</w:t>
      </w:r>
      <w:proofErr w:type="spellEnd"/>
      <w:r>
        <w:rPr>
          <w:rFonts w:eastAsia="MS Mincho"/>
        </w:rPr>
        <w:t xml:space="preserve"> and </w:t>
      </w:r>
      <w:proofErr w:type="spellStart"/>
      <w:r>
        <w:rPr>
          <w:rFonts w:eastAsia="MS Mincho"/>
        </w:rPr>
        <w:t>FparExtra_QC</w:t>
      </w:r>
      <w:proofErr w:type="spellEnd"/>
      <w:r>
        <w:rPr>
          <w:rFonts w:eastAsia="MS Mincho"/>
        </w:rPr>
        <w:t xml:space="preserve">, from the upstream VNP15A2H of the corresponding 8-day period.  Detailed bitfield information is below. </w:t>
      </w:r>
    </w:p>
    <w:p w14:paraId="271AE1F2"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p>
    <w:p w14:paraId="3E27F8B7"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Data Field Name: Psn_QC_500m</w:t>
      </w:r>
    </w:p>
    <w:p w14:paraId="4AE5B7AF" w14:textId="77777777" w:rsidR="0078185C" w:rsidRDefault="0078185C">
      <w:pPr>
        <w:pStyle w:val="PlainText"/>
        <w:jc w:val="both"/>
        <w:rPr>
          <w:rFonts w:ascii="Times New Roman" w:eastAsia="MS Mincho" w:hAnsi="Times New Roman" w:cs="Times New Roman"/>
          <w:bCs/>
          <w:sz w:val="24"/>
          <w:szCs w:val="24"/>
        </w:rPr>
      </w:pPr>
    </w:p>
    <w:p w14:paraId="315AC9D3"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BITS BITFIELD</w:t>
      </w:r>
    </w:p>
    <w:p w14:paraId="17338E52"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  -------------</w:t>
      </w:r>
    </w:p>
    <w:p w14:paraId="364F9176"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0-2 Algorithm path</w:t>
      </w:r>
    </w:p>
    <w:p w14:paraId="134C04AD"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000=0 Main (RT) algorithm </w:t>
      </w:r>
      <w:proofErr w:type="gramStart"/>
      <w:r>
        <w:rPr>
          <w:rFonts w:eastAsia="MS Mincho"/>
        </w:rPr>
        <w:t>used,</w:t>
      </w:r>
      <w:proofErr w:type="gramEnd"/>
      <w:r>
        <w:rPr>
          <w:rFonts w:eastAsia="MS Mincho"/>
        </w:rPr>
        <w:t xml:space="preserve"> best result possible (no saturation)</w:t>
      </w:r>
    </w:p>
    <w:p w14:paraId="6E968690"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001=1 Main (RT) algorithm </w:t>
      </w:r>
      <w:proofErr w:type="gramStart"/>
      <w:r>
        <w:rPr>
          <w:rFonts w:eastAsia="MS Mincho"/>
        </w:rPr>
        <w:t>used,</w:t>
      </w:r>
      <w:proofErr w:type="gramEnd"/>
      <w:r>
        <w:rPr>
          <w:rFonts w:eastAsia="MS Mincho"/>
        </w:rPr>
        <w:t xml:space="preserve"> saturation occurred. Good, very usable.</w:t>
      </w:r>
    </w:p>
    <w:p w14:paraId="5313D71D"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010=2 Main algorithm failed due to bad </w:t>
      </w:r>
      <w:proofErr w:type="gramStart"/>
      <w:r>
        <w:rPr>
          <w:rFonts w:eastAsia="MS Mincho"/>
        </w:rPr>
        <w:t>geometry,</w:t>
      </w:r>
      <w:proofErr w:type="gramEnd"/>
      <w:r>
        <w:rPr>
          <w:rFonts w:eastAsia="MS Mincho"/>
        </w:rPr>
        <w:t xml:space="preserve"> empirical algorithm used</w:t>
      </w:r>
    </w:p>
    <w:p w14:paraId="4985AEF5"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011=3 Main algorithm failed due to problems other than geometry, empirical algorithm used</w:t>
      </w:r>
    </w:p>
    <w:p w14:paraId="2476926D"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100=4 Pixel not produced at all, value couldn’t be retrieved (possible reasons: bad L1B data, unusable VNP09GA data, water pixel)</w:t>
      </w:r>
    </w:p>
    <w:p w14:paraId="3955E093" w14:textId="77777777" w:rsidR="0078185C" w:rsidRDefault="007818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p>
    <w:p w14:paraId="745C78B4"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3-3 Dead detector</w:t>
      </w:r>
    </w:p>
    <w:p w14:paraId="4B2B097F"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 = Both red and NIR detectors are fine</w:t>
      </w:r>
    </w:p>
    <w:p w14:paraId="12C4D7CF"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 = At least one band has dead detector</w:t>
      </w:r>
    </w:p>
    <w:p w14:paraId="12C42424" w14:textId="77777777" w:rsidR="0078185C" w:rsidRDefault="007818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p>
    <w:p w14:paraId="10CA74F9"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4-5 Cloud detection and confidence</w:t>
      </w:r>
    </w:p>
    <w:p w14:paraId="28FC657B"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00 = 0 Confident clear</w:t>
      </w:r>
    </w:p>
    <w:p w14:paraId="5B4CCF48"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01 = 1 Probably clear</w:t>
      </w:r>
    </w:p>
    <w:p w14:paraId="4E67C915"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10 = 2 Probably cloudy</w:t>
      </w:r>
    </w:p>
    <w:p w14:paraId="49A35CE4"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11 = 3 Confident cloudy</w:t>
      </w:r>
    </w:p>
    <w:p w14:paraId="379CA55B" w14:textId="77777777" w:rsidR="0078185C" w:rsidRDefault="007818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p>
    <w:p w14:paraId="194608F0"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6-6 Cloud shadow</w:t>
      </w:r>
    </w:p>
    <w:p w14:paraId="31DE72DE"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 = 0 No cloud shadow</w:t>
      </w:r>
    </w:p>
    <w:p w14:paraId="5A80BEBC"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 = 1 Shadow</w:t>
      </w:r>
    </w:p>
    <w:p w14:paraId="5ABF93C4" w14:textId="77777777" w:rsidR="0078185C" w:rsidRDefault="007818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p>
    <w:p w14:paraId="0986F766"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7-7 Thin cirrus flag</w:t>
      </w:r>
    </w:p>
    <w:p w14:paraId="7F0A64A7"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0 = 0 No</w:t>
      </w:r>
    </w:p>
    <w:p w14:paraId="3C42191B" w14:textId="7777777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     1 = 1 Yes</w:t>
      </w:r>
    </w:p>
    <w:p w14:paraId="71DCB018" w14:textId="77777777" w:rsidR="0078185C" w:rsidRDefault="0078185C">
      <w:pPr>
        <w:pStyle w:val="PlainText"/>
        <w:ind w:firstLine="420"/>
        <w:jc w:val="both"/>
        <w:rPr>
          <w:rFonts w:ascii="Times New Roman" w:eastAsia="MS Mincho" w:hAnsi="Times New Roman" w:cs="Times New Roman"/>
          <w:bCs/>
          <w:sz w:val="24"/>
          <w:szCs w:val="24"/>
        </w:rPr>
      </w:pPr>
    </w:p>
    <w:p w14:paraId="203123F6" w14:textId="4F1B0A98"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ab/>
        <w:t xml:space="preserve">For the </w:t>
      </w:r>
      <w:r w:rsidR="007C1923">
        <w:rPr>
          <w:rFonts w:eastAsia="MS Mincho"/>
        </w:rPr>
        <w:t xml:space="preserve">C2 </w:t>
      </w:r>
      <w:r>
        <w:rPr>
          <w:rFonts w:eastAsia="MS Mincho"/>
        </w:rPr>
        <w:t xml:space="preserve">NASA’s forward VNP17A2 and gap filled VNP17A2GF, the </w:t>
      </w:r>
      <w:r>
        <w:rPr>
          <w:rFonts w:eastAsia="MS Mincho"/>
          <w:bCs/>
        </w:rPr>
        <w:t>Psn_QC_500m</w:t>
      </w:r>
      <w:r>
        <w:rPr>
          <w:rFonts w:eastAsia="MS Mincho"/>
        </w:rPr>
        <w:t xml:space="preserve"> information can provide you the quality of the original VIIRS 8-day FPAR/LAI data, input to VNP17A2[GF]. Compared to very early stage of MOD17 data products, its usefulness has been greatly reduced in that the original FPAR/LAI labeled with poor quality mostly due to cloud contaminations have been replaced either by climatology FPAR/LAI in the forward VNP17A2 processes or by gap-filled FPAR/LAI in the year-end gap-filled VNP17A2GF processes.</w:t>
      </w:r>
    </w:p>
    <w:p w14:paraId="4B644A8D" w14:textId="77777777" w:rsidR="0078185C" w:rsidRDefault="0078185C">
      <w:pPr>
        <w:pStyle w:val="PlainText"/>
        <w:jc w:val="both"/>
        <w:rPr>
          <w:rFonts w:ascii="Times New Roman" w:hAnsi="Times New Roman" w:cs="Times New Roman"/>
          <w:b/>
          <w:bCs/>
          <w:sz w:val="24"/>
          <w:szCs w:val="24"/>
        </w:rPr>
      </w:pPr>
    </w:p>
    <w:p w14:paraId="6E0C6884" w14:textId="77777777" w:rsidR="0078185C" w:rsidRDefault="00000000">
      <w:pPr>
        <w:pStyle w:val="Heading2"/>
        <w:rPr>
          <w:lang w:val="es-ES"/>
        </w:rPr>
      </w:pPr>
      <w:bookmarkStart w:id="24" w:name="_Toc181041995"/>
      <w:r>
        <w:rPr>
          <w:lang w:val="es-ES"/>
        </w:rPr>
        <w:t>4.3. Anual VNP17A3GF/VJ117A3GF</w:t>
      </w:r>
      <w:bookmarkEnd w:id="24"/>
    </w:p>
    <w:p w14:paraId="082C48EB"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p>
    <w:p w14:paraId="19394889" w14:textId="3E526492"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i/>
          <w:iCs/>
        </w:rPr>
      </w:pPr>
      <w:r>
        <w:rPr>
          <w:rFonts w:ascii="Webdings" w:eastAsia="Webdings" w:hAnsi="Webdings" w:cs="Webdings"/>
        </w:rPr>
        <w:t></w:t>
      </w:r>
      <w:r w:rsidR="008C17B8">
        <w:rPr>
          <w:rFonts w:eastAsia="MS Mincho"/>
        </w:rPr>
        <w:t xml:space="preserve"> </w:t>
      </w:r>
      <w:r>
        <w:rPr>
          <w:rFonts w:eastAsia="MS Mincho"/>
          <w:i/>
          <w:iCs/>
        </w:rPr>
        <w:t>As noted in the first paragraph of the section 4, there are no annual forward VNP17A3 or VJ117A3, but just year-end gap filled VNP17A3GF and VJ117A3GF.</w:t>
      </w:r>
    </w:p>
    <w:p w14:paraId="2677290C"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lang w:val="es-ES"/>
        </w:rPr>
      </w:pPr>
      <w:r>
        <w:rPr>
          <w:rFonts w:eastAsia="MS Mincho"/>
          <w:lang w:val="es-ES"/>
        </w:rPr>
        <w:tab/>
      </w:r>
    </w:p>
    <w:p w14:paraId="6F30608B"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lang w:val="es-ES"/>
        </w:rPr>
        <w:tab/>
      </w:r>
      <w:r>
        <w:rPr>
          <w:rFonts w:eastAsia="MS Mincho"/>
        </w:rPr>
        <w:t>Table 4.2 lists science data sets in annual VNP</w:t>
      </w:r>
      <w:r>
        <w:rPr>
          <w:bCs/>
        </w:rPr>
        <w:t>17A3GF</w:t>
      </w:r>
      <w:r>
        <w:rPr>
          <w:rFonts w:eastAsia="MS Mincho"/>
        </w:rPr>
        <w:t xml:space="preserve">. Gpp_500m and Npp_500m are the </w:t>
      </w:r>
      <w:r>
        <w:rPr>
          <w:rFonts w:eastAsia="MS Mincho"/>
          <w:b/>
        </w:rPr>
        <w:t>summation</w:t>
      </w:r>
      <w:r>
        <w:rPr>
          <w:rFonts w:eastAsia="MS Mincho"/>
        </w:rPr>
        <w:t xml:space="preserve"> of total daily GPP and NPP through the year (0.0001 </w:t>
      </w:r>
      <w:proofErr w:type="spellStart"/>
      <w:r>
        <w:rPr>
          <w:rFonts w:eastAsia="MS Mincho"/>
        </w:rPr>
        <w:t>KgC</w:t>
      </w:r>
      <w:proofErr w:type="spellEnd"/>
      <w:r>
        <w:rPr>
          <w:rFonts w:eastAsia="MS Mincho"/>
        </w:rPr>
        <w:t>/m</w:t>
      </w:r>
      <w:r>
        <w:rPr>
          <w:rFonts w:eastAsia="MS Mincho"/>
          <w:vertAlign w:val="superscript"/>
        </w:rPr>
        <w:t>2</w:t>
      </w:r>
      <w:r>
        <w:rPr>
          <w:rFonts w:eastAsia="MS Mincho"/>
        </w:rPr>
        <w:t>/year), respectively. Gpp_500m and Npp_500m have the same unit, the same data type (unsigned 2-byte short, uint16), same valid range and the fill values.</w:t>
      </w:r>
    </w:p>
    <w:p w14:paraId="100C5B58"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 xml:space="preserve"> </w:t>
      </w:r>
    </w:p>
    <w:p w14:paraId="1CE3B842" w14:textId="77777777" w:rsidR="0078185C" w:rsidRDefault="00000000">
      <w:pPr>
        <w:ind w:firstLine="720"/>
        <w:jc w:val="both"/>
        <w:rPr>
          <w:rFonts w:eastAsia="MS Mincho"/>
        </w:rPr>
      </w:pPr>
      <w:r>
        <w:rPr>
          <w:rFonts w:eastAsia="MS Mincho"/>
        </w:rPr>
        <w:t>Like VNP17A2[GF], as listed in Table 4.2, for valid data (</w:t>
      </w:r>
      <w:proofErr w:type="spellStart"/>
      <w:r>
        <w:rPr>
          <w:rFonts w:eastAsia="MS Mincho"/>
        </w:rPr>
        <w:t>Valid_data</w:t>
      </w:r>
      <w:proofErr w:type="spellEnd"/>
      <w:r>
        <w:rPr>
          <w:rFonts w:eastAsia="MS Mincho"/>
        </w:rPr>
        <w:t xml:space="preserve"> with the valid range) of VNP17A3GF, the real value (</w:t>
      </w:r>
      <w:proofErr w:type="spellStart"/>
      <w:r>
        <w:rPr>
          <w:rFonts w:eastAsia="MS Mincho"/>
        </w:rPr>
        <w:t>Real_value</w:t>
      </w:r>
      <w:proofErr w:type="spellEnd"/>
      <w:r>
        <w:rPr>
          <w:rFonts w:eastAsia="MS Mincho"/>
        </w:rPr>
        <w:t>) in the corresponding units (</w:t>
      </w:r>
      <w:proofErr w:type="spellStart"/>
      <w:r>
        <w:rPr>
          <w:rFonts w:eastAsia="MS Mincho"/>
        </w:rPr>
        <w:t>kgC</w:t>
      </w:r>
      <w:proofErr w:type="spellEnd"/>
      <w:r>
        <w:rPr>
          <w:rFonts w:eastAsia="MS Mincho"/>
        </w:rPr>
        <w:t>/m2/</w:t>
      </w:r>
      <w:proofErr w:type="spellStart"/>
      <w:r>
        <w:rPr>
          <w:rFonts w:eastAsia="MS Mincho"/>
        </w:rPr>
        <w:t>yr</w:t>
      </w:r>
      <w:proofErr w:type="spellEnd"/>
      <w:r>
        <w:rPr>
          <w:rFonts w:eastAsia="MS Mincho"/>
        </w:rPr>
        <w:t>) can be calculated using the following equation,</w:t>
      </w:r>
    </w:p>
    <w:p w14:paraId="249BF8C6" w14:textId="77777777" w:rsidR="0078185C" w:rsidRDefault="0078185C">
      <w:pPr>
        <w:jc w:val="both"/>
        <w:rPr>
          <w:rFonts w:eastAsia="MS Mincho"/>
        </w:rPr>
      </w:pPr>
    </w:p>
    <w:p w14:paraId="34FA3ABA" w14:textId="0180712A" w:rsidR="0078185C" w:rsidRDefault="00000000">
      <w:pPr>
        <w:ind w:firstLine="720"/>
        <w:jc w:val="both"/>
        <w:rPr>
          <w:rFonts w:eastAsia="MS Mincho"/>
        </w:rPr>
      </w:pPr>
      <w:proofErr w:type="spellStart"/>
      <w:r>
        <w:rPr>
          <w:rFonts w:eastAsia="MS Mincho"/>
        </w:rPr>
        <w:t>Real_value</w:t>
      </w:r>
      <w:proofErr w:type="spellEnd"/>
      <w:r>
        <w:rPr>
          <w:rFonts w:eastAsia="MS Mincho"/>
        </w:rPr>
        <w:t xml:space="preserve"> = </w:t>
      </w:r>
      <w:proofErr w:type="spellStart"/>
      <w:r>
        <w:rPr>
          <w:rFonts w:eastAsia="MS Mincho"/>
        </w:rPr>
        <w:t>Valid_data</w:t>
      </w:r>
      <w:proofErr w:type="spellEnd"/>
      <w:r>
        <w:rPr>
          <w:rFonts w:eastAsia="MS Mincho"/>
        </w:rPr>
        <w:t xml:space="preserve"> * </w:t>
      </w:r>
      <w:proofErr w:type="spellStart"/>
      <w:r>
        <w:rPr>
          <w:rFonts w:eastAsia="MS Mincho"/>
        </w:rPr>
        <w:t>Scale_Factor</w:t>
      </w:r>
      <w:proofErr w:type="spellEnd"/>
      <w:r>
        <w:rPr>
          <w:rFonts w:eastAsia="MS Mincho"/>
        </w:rPr>
        <w:t xml:space="preserve">                                                         </w:t>
      </w:r>
      <w:r w:rsidR="007E3FD4">
        <w:rPr>
          <w:rFonts w:eastAsia="MS Mincho"/>
        </w:rPr>
        <w:tab/>
      </w:r>
      <w:r w:rsidR="007E3FD4">
        <w:rPr>
          <w:rFonts w:eastAsia="MS Mincho"/>
          <w:b/>
          <w:bCs/>
        </w:rPr>
        <w:t>(4.2)</w:t>
      </w:r>
    </w:p>
    <w:p w14:paraId="0EF46479"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p>
    <w:p w14:paraId="6679997A" w14:textId="77777777" w:rsidR="0078185C" w:rsidRDefault="000000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r>
        <w:rPr>
          <w:rFonts w:eastAsia="MS Mincho"/>
        </w:rPr>
        <w:t>Gpp_500m and Npp_500m data fields are in uint16, and their _</w:t>
      </w:r>
      <w:proofErr w:type="spellStart"/>
      <w:r>
        <w:rPr>
          <w:rFonts w:eastAsia="MS Mincho"/>
        </w:rPr>
        <w:t>FillValue</w:t>
      </w:r>
      <w:proofErr w:type="spellEnd"/>
      <w:r>
        <w:rPr>
          <w:rFonts w:eastAsia="MS Mincho"/>
        </w:rPr>
        <w:t xml:space="preserve"> is 65535, and the corresponding 7 fill values are listed below</w:t>
      </w:r>
    </w:p>
    <w:p w14:paraId="3AB58C42"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rPr>
      </w:pPr>
    </w:p>
    <w:p w14:paraId="16001678" w14:textId="79E90E80"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65535: _</w:t>
      </w:r>
      <w:proofErr w:type="spellStart"/>
      <w:r>
        <w:rPr>
          <w:rFonts w:eastAsia="MS Mincho"/>
        </w:rPr>
        <w:t>Fillvalue</w:t>
      </w:r>
      <w:proofErr w:type="spellEnd"/>
      <w:r>
        <w:rPr>
          <w:rFonts w:eastAsia="MS Mincho"/>
        </w:rPr>
        <w:t xml:space="preserve">: </w:t>
      </w:r>
      <w:proofErr w:type="gramStart"/>
      <w:r>
        <w:rPr>
          <w:rFonts w:eastAsia="MS Mincho"/>
        </w:rPr>
        <w:t>not-computed</w:t>
      </w:r>
      <w:proofErr w:type="gramEnd"/>
      <w:r>
        <w:rPr>
          <w:rFonts w:eastAsia="MS Mincho"/>
        </w:rPr>
        <w:t xml:space="preserve"> or outside projection...</w:t>
      </w:r>
    </w:p>
    <w:p w14:paraId="5967CA29" w14:textId="7CDE400E"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65534: water (ocean or inland)</w:t>
      </w:r>
    </w:p>
    <w:p w14:paraId="7BEAB353" w14:textId="754C4727"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65533: barren, very sparsely vegetated</w:t>
      </w:r>
    </w:p>
    <w:p w14:paraId="413940F2" w14:textId="0A529CEE"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65532: perennial </w:t>
      </w:r>
      <w:proofErr w:type="spellStart"/>
      <w:proofErr w:type="gramStart"/>
      <w:r>
        <w:rPr>
          <w:rFonts w:eastAsia="MS Mincho"/>
        </w:rPr>
        <w:t>snow,ice</w:t>
      </w:r>
      <w:proofErr w:type="spellEnd"/>
      <w:proofErr w:type="gramEnd"/>
      <w:r>
        <w:rPr>
          <w:rFonts w:eastAsia="MS Mincho"/>
        </w:rPr>
        <w:t xml:space="preserve"> on pixel</w:t>
      </w:r>
    </w:p>
    <w:p w14:paraId="6EDE9A17" w14:textId="1E5B1062"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65531: </w:t>
      </w:r>
      <w:proofErr w:type="spellStart"/>
      <w:r>
        <w:rPr>
          <w:rFonts w:eastAsia="MS Mincho"/>
        </w:rPr>
        <w:t>permanant</w:t>
      </w:r>
      <w:proofErr w:type="spellEnd"/>
      <w:r>
        <w:rPr>
          <w:rFonts w:eastAsia="MS Mincho"/>
        </w:rPr>
        <w:t xml:space="preserve"> </w:t>
      </w:r>
      <w:proofErr w:type="spellStart"/>
      <w:proofErr w:type="gramStart"/>
      <w:r>
        <w:rPr>
          <w:rFonts w:eastAsia="MS Mincho"/>
        </w:rPr>
        <w:t>wetlands,marshes</w:t>
      </w:r>
      <w:proofErr w:type="spellEnd"/>
      <w:proofErr w:type="gramEnd"/>
    </w:p>
    <w:p w14:paraId="7C06F1D7" w14:textId="269042BD"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 xml:space="preserve">65530: </w:t>
      </w:r>
      <w:proofErr w:type="spellStart"/>
      <w:proofErr w:type="gramStart"/>
      <w:r>
        <w:rPr>
          <w:rFonts w:eastAsia="MS Mincho"/>
        </w:rPr>
        <w:t>urban,built</w:t>
      </w:r>
      <w:proofErr w:type="spellEnd"/>
      <w:proofErr w:type="gramEnd"/>
      <w:r>
        <w:rPr>
          <w:rFonts w:eastAsia="MS Mincho"/>
        </w:rPr>
        <w:t xml:space="preserve">-up </w:t>
      </w:r>
    </w:p>
    <w:p w14:paraId="0B8896CC" w14:textId="075D1CEA" w:rsidR="004044DE"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t>65529: unclassified</w:t>
      </w:r>
    </w:p>
    <w:p w14:paraId="32432AB3" w14:textId="77777777" w:rsidR="004044DE" w:rsidRDefault="004044D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p>
    <w:p w14:paraId="1257D0C1" w14:textId="641AF3D6" w:rsidR="001E7D55" w:rsidRDefault="001E7D55" w:rsidP="001E7D55">
      <w:pPr>
        <w:pStyle w:val="PlainText"/>
        <w:jc w:val="both"/>
        <w:rPr>
          <w:rFonts w:ascii="Times New Roman" w:eastAsia="MS Mincho" w:hAnsi="Times New Roman" w:cs="Times New Roman"/>
          <w:bCs/>
          <w:sz w:val="24"/>
          <w:szCs w:val="24"/>
        </w:rPr>
      </w:pPr>
      <w:r w:rsidRPr="00964083">
        <w:rPr>
          <w:rFonts w:ascii="Times New Roman" w:eastAsia="MS Mincho" w:hAnsi="Times New Roman" w:cs="Times New Roman"/>
          <w:bCs/>
          <w:sz w:val="24"/>
          <w:szCs w:val="24"/>
        </w:rPr>
        <w:t>Note</w:t>
      </w:r>
      <w:r w:rsidR="00551081">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two fill values</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251</w:t>
      </w:r>
      <w:r>
        <w:rPr>
          <w:rFonts w:ascii="Times New Roman" w:eastAsia="MS Mincho" w:hAnsi="Times New Roman" w:cs="Times New Roman"/>
          <w:bCs/>
          <w:sz w:val="24"/>
          <w:szCs w:val="24"/>
        </w:rPr>
        <w:t xml:space="preserve"> and</w:t>
      </w:r>
      <w:r w:rsidRPr="00964083">
        <w:rPr>
          <w:rFonts w:ascii="Times New Roman" w:eastAsia="MS Mincho" w:hAnsi="Times New Roman" w:cs="Times New Roman"/>
          <w:bCs/>
          <w:sz w:val="24"/>
          <w:szCs w:val="24"/>
        </w:rPr>
        <w:t xml:space="preserve"> 252</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in the VIIRS FPAR/LAI are mislabeled as 253, and as a result, the subsequent VIIRS annual </w:t>
      </w:r>
      <w:r>
        <w:rPr>
          <w:rFonts w:ascii="Times New Roman" w:eastAsia="MS Mincho" w:hAnsi="Times New Roman" w:cs="Times New Roman"/>
          <w:bCs/>
          <w:sz w:val="24"/>
          <w:szCs w:val="24"/>
        </w:rPr>
        <w:t xml:space="preserve">Gpp_500m and </w:t>
      </w:r>
      <w:r w:rsidRPr="00964083">
        <w:rPr>
          <w:rFonts w:ascii="Times New Roman" w:eastAsia="MS Mincho" w:hAnsi="Times New Roman" w:cs="Times New Roman"/>
          <w:bCs/>
          <w:sz w:val="24"/>
          <w:szCs w:val="24"/>
        </w:rPr>
        <w:t>Npp_500m mislabeled two fill values</w:t>
      </w:r>
      <w:r>
        <w:rPr>
          <w:rFonts w:ascii="Times New Roman" w:eastAsia="MS Mincho" w:hAnsi="Times New Roman" w:cs="Times New Roman"/>
          <w:bCs/>
          <w:sz w:val="24"/>
          <w:szCs w:val="24"/>
        </w:rPr>
        <w:t>,</w:t>
      </w:r>
      <w:r w:rsidRPr="00964083">
        <w:rPr>
          <w:rFonts w:ascii="Times New Roman" w:eastAsia="MS Mincho" w:hAnsi="Times New Roman" w:cs="Times New Roman"/>
          <w:bCs/>
          <w:sz w:val="24"/>
          <w:szCs w:val="24"/>
        </w:rPr>
        <w:t xml:space="preserve"> </w:t>
      </w:r>
      <w:r>
        <w:rPr>
          <w:rFonts w:ascii="Times New Roman" w:eastAsia="MS Mincho" w:hAnsi="Times New Roman" w:cs="Times New Roman"/>
          <w:bCs/>
          <w:sz w:val="24"/>
          <w:szCs w:val="24"/>
        </w:rPr>
        <w:t>65531</w:t>
      </w:r>
      <w:r w:rsidRPr="00964083">
        <w:rPr>
          <w:rFonts w:ascii="Times New Roman" w:eastAsia="MS Mincho" w:hAnsi="Times New Roman" w:cs="Times New Roman"/>
          <w:bCs/>
          <w:sz w:val="24"/>
          <w:szCs w:val="24"/>
        </w:rPr>
        <w:t xml:space="preserve"> and </w:t>
      </w:r>
      <w:r>
        <w:rPr>
          <w:rFonts w:ascii="Times New Roman" w:eastAsia="MS Mincho" w:hAnsi="Times New Roman" w:cs="Times New Roman"/>
          <w:bCs/>
          <w:sz w:val="24"/>
          <w:szCs w:val="24"/>
        </w:rPr>
        <w:t>65532,</w:t>
      </w:r>
      <w:r w:rsidRPr="00964083">
        <w:rPr>
          <w:rFonts w:ascii="Times New Roman" w:eastAsia="MS Mincho" w:hAnsi="Times New Roman" w:cs="Times New Roman"/>
          <w:bCs/>
          <w:sz w:val="24"/>
          <w:szCs w:val="24"/>
        </w:rPr>
        <w:t xml:space="preserve"> as </w:t>
      </w:r>
      <w:r>
        <w:rPr>
          <w:rFonts w:ascii="Times New Roman" w:eastAsia="MS Mincho" w:hAnsi="Times New Roman" w:cs="Times New Roman"/>
          <w:bCs/>
          <w:sz w:val="24"/>
          <w:szCs w:val="24"/>
        </w:rPr>
        <w:t>65533</w:t>
      </w:r>
      <w:r w:rsidR="00551081">
        <w:rPr>
          <w:rFonts w:ascii="Times New Roman" w:eastAsia="MS Mincho" w:hAnsi="Times New Roman" w:cs="Times New Roman"/>
          <w:bCs/>
          <w:sz w:val="24"/>
          <w:szCs w:val="24"/>
        </w:rPr>
        <w:t xml:space="preserve"> because of data dependence.</w:t>
      </w:r>
    </w:p>
    <w:p w14:paraId="1D8EA726" w14:textId="14336289" w:rsidR="0078185C"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MS Mincho"/>
        </w:rPr>
      </w:pPr>
      <w:r>
        <w:rPr>
          <w:rFonts w:eastAsia="MS Mincho"/>
        </w:rPr>
        <w:lastRenderedPageBreak/>
        <w:br/>
      </w:r>
    </w:p>
    <w:p w14:paraId="7A2F340D" w14:textId="77777777" w:rsidR="0078185C" w:rsidRDefault="00000000">
      <w:pPr>
        <w:pStyle w:val="PlainText"/>
        <w:jc w:val="both"/>
        <w:rPr>
          <w:rFonts w:ascii="Times New Roman" w:eastAsia="MS Mincho" w:hAnsi="Times New Roman" w:cs="Times New Roman"/>
          <w:i/>
          <w:sz w:val="24"/>
          <w:szCs w:val="24"/>
        </w:rPr>
      </w:pPr>
      <w:r>
        <w:rPr>
          <w:rFonts w:ascii="Times New Roman" w:eastAsia="MS Mincho" w:hAnsi="Times New Roman" w:cs="Times New Roman"/>
          <w:b/>
          <w:i/>
          <w:sz w:val="24"/>
          <w:szCs w:val="24"/>
        </w:rPr>
        <w:t>Table 4.2.</w:t>
      </w:r>
      <w:r>
        <w:rPr>
          <w:rFonts w:ascii="Times New Roman" w:eastAsia="MS Mincho" w:hAnsi="Times New Roman" w:cs="Times New Roman"/>
          <w:i/>
          <w:sz w:val="24"/>
          <w:szCs w:val="24"/>
        </w:rPr>
        <w:t xml:space="preserve"> The detailed information on science data sets in VNP17A3GF or VJ117A3GF</w:t>
      </w:r>
    </w:p>
    <w:tbl>
      <w:tblPr>
        <w:tblStyle w:val="TableGrid"/>
        <w:tblW w:w="9445" w:type="dxa"/>
        <w:tblLook w:val="04A0" w:firstRow="1" w:lastRow="0" w:firstColumn="1" w:lastColumn="0" w:noHBand="0" w:noVBand="1"/>
      </w:tblPr>
      <w:tblGrid>
        <w:gridCol w:w="1796"/>
        <w:gridCol w:w="2160"/>
        <w:gridCol w:w="1349"/>
        <w:gridCol w:w="1261"/>
        <w:gridCol w:w="1439"/>
        <w:gridCol w:w="1440"/>
      </w:tblGrid>
      <w:tr w:rsidR="0078185C" w14:paraId="78FB3A01" w14:textId="77777777" w:rsidTr="00F67F6E">
        <w:tc>
          <w:tcPr>
            <w:tcW w:w="1796" w:type="dxa"/>
          </w:tcPr>
          <w:p w14:paraId="551B482D"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Data Sets</w:t>
            </w:r>
          </w:p>
        </w:tc>
        <w:tc>
          <w:tcPr>
            <w:tcW w:w="2160" w:type="dxa"/>
          </w:tcPr>
          <w:p w14:paraId="368C23B8"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Meaning</w:t>
            </w:r>
          </w:p>
        </w:tc>
        <w:tc>
          <w:tcPr>
            <w:tcW w:w="1349" w:type="dxa"/>
          </w:tcPr>
          <w:p w14:paraId="45D5F465"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Units</w:t>
            </w:r>
          </w:p>
        </w:tc>
        <w:tc>
          <w:tcPr>
            <w:tcW w:w="1261" w:type="dxa"/>
          </w:tcPr>
          <w:p w14:paraId="2F16F1E4" w14:textId="2963D76A"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Dat</w:t>
            </w:r>
            <w:r w:rsidR="0017738F">
              <w:rPr>
                <w:rFonts w:ascii="Times New Roman" w:eastAsia="MS Mincho" w:hAnsi="Times New Roman" w:cs="Times New Roman"/>
                <w:sz w:val="24"/>
                <w:szCs w:val="24"/>
              </w:rPr>
              <w:t>a</w:t>
            </w:r>
            <w:r>
              <w:rPr>
                <w:rFonts w:ascii="Times New Roman" w:eastAsia="MS Mincho" w:hAnsi="Times New Roman" w:cs="Times New Roman"/>
                <w:sz w:val="24"/>
                <w:szCs w:val="24"/>
              </w:rPr>
              <w:t xml:space="preserve"> Type</w:t>
            </w:r>
          </w:p>
        </w:tc>
        <w:tc>
          <w:tcPr>
            <w:tcW w:w="1439" w:type="dxa"/>
          </w:tcPr>
          <w:p w14:paraId="4DB9ADF6"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Valid Range</w:t>
            </w:r>
          </w:p>
        </w:tc>
        <w:tc>
          <w:tcPr>
            <w:tcW w:w="1440" w:type="dxa"/>
          </w:tcPr>
          <w:p w14:paraId="4A96CA41" w14:textId="77777777" w:rsidR="0078185C" w:rsidRDefault="00000000">
            <w:pPr>
              <w:pStyle w:val="PlainText"/>
              <w:jc w:val="both"/>
              <w:rPr>
                <w:rFonts w:ascii="Times New Roman" w:eastAsia="MS Mincho" w:hAnsi="Times New Roman" w:cs="Times New Roman"/>
                <w:sz w:val="24"/>
                <w:szCs w:val="24"/>
              </w:rPr>
            </w:pPr>
            <w:proofErr w:type="gramStart"/>
            <w:r>
              <w:rPr>
                <w:rFonts w:ascii="Times New Roman" w:eastAsia="MS Mincho" w:hAnsi="Times New Roman" w:cs="Times New Roman"/>
                <w:sz w:val="24"/>
                <w:szCs w:val="24"/>
              </w:rPr>
              <w:t>Scale  Factor</w:t>
            </w:r>
            <w:proofErr w:type="gramEnd"/>
          </w:p>
        </w:tc>
      </w:tr>
      <w:tr w:rsidR="0078185C" w14:paraId="33C1EF01" w14:textId="77777777" w:rsidTr="00F67F6E">
        <w:tc>
          <w:tcPr>
            <w:tcW w:w="1796" w:type="dxa"/>
          </w:tcPr>
          <w:p w14:paraId="5781E4C1"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Gpp_500m</w:t>
            </w:r>
          </w:p>
        </w:tc>
        <w:tc>
          <w:tcPr>
            <w:tcW w:w="2160" w:type="dxa"/>
          </w:tcPr>
          <w:p w14:paraId="0942753B"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annual sum GPP</w:t>
            </w:r>
          </w:p>
        </w:tc>
        <w:tc>
          <w:tcPr>
            <w:tcW w:w="1349" w:type="dxa"/>
          </w:tcPr>
          <w:p w14:paraId="7F7A78F8" w14:textId="698D0789" w:rsidR="0078185C" w:rsidRDefault="000B09FC">
            <w:pPr>
              <w:pStyle w:val="PlainText"/>
              <w:jc w:val="both"/>
              <w:rPr>
                <w:rFonts w:ascii="Times New Roman" w:eastAsia="MS Mincho" w:hAnsi="Times New Roman" w:cs="Times New Roman"/>
                <w:sz w:val="24"/>
                <w:szCs w:val="24"/>
              </w:rPr>
            </w:pPr>
            <w:proofErr w:type="spellStart"/>
            <w:r>
              <w:rPr>
                <w:rFonts w:ascii="Times New Roman" w:eastAsia="MS Mincho" w:hAnsi="Times New Roman" w:cs="Times New Roman"/>
                <w:sz w:val="24"/>
                <w:szCs w:val="24"/>
              </w:rPr>
              <w:t>kg</w:t>
            </w:r>
            <w:r w:rsidR="008233B1">
              <w:rPr>
                <w:rFonts w:ascii="Times New Roman" w:eastAsia="MS Mincho" w:hAnsi="Times New Roman" w:cs="Times New Roman"/>
                <w:sz w:val="24"/>
                <w:szCs w:val="24"/>
              </w:rPr>
              <w:t>_</w:t>
            </w:r>
            <w:r>
              <w:rPr>
                <w:rFonts w:ascii="Times New Roman" w:eastAsia="MS Mincho" w:hAnsi="Times New Roman" w:cs="Times New Roman"/>
                <w:sz w:val="24"/>
                <w:szCs w:val="24"/>
              </w:rPr>
              <w:t>C</w:t>
            </w:r>
            <w:proofErr w:type="spellEnd"/>
            <w:r>
              <w:rPr>
                <w:rFonts w:ascii="Times New Roman" w:eastAsia="MS Mincho" w:hAnsi="Times New Roman" w:cs="Times New Roman"/>
                <w:sz w:val="24"/>
                <w:szCs w:val="24"/>
              </w:rPr>
              <w:t>/m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w:t>
            </w:r>
            <w:proofErr w:type="spellStart"/>
            <w:r>
              <w:rPr>
                <w:rFonts w:ascii="Times New Roman" w:eastAsia="MS Mincho" w:hAnsi="Times New Roman" w:cs="Times New Roman"/>
                <w:sz w:val="24"/>
                <w:szCs w:val="24"/>
              </w:rPr>
              <w:t>yr</w:t>
            </w:r>
            <w:proofErr w:type="spellEnd"/>
          </w:p>
        </w:tc>
        <w:tc>
          <w:tcPr>
            <w:tcW w:w="1261" w:type="dxa"/>
          </w:tcPr>
          <w:p w14:paraId="2E5C7BD3"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uint16</w:t>
            </w:r>
          </w:p>
        </w:tc>
        <w:tc>
          <w:tcPr>
            <w:tcW w:w="1439" w:type="dxa"/>
          </w:tcPr>
          <w:p w14:paraId="157374EA"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0 ~ 65500</w:t>
            </w:r>
          </w:p>
        </w:tc>
        <w:tc>
          <w:tcPr>
            <w:tcW w:w="1440" w:type="dxa"/>
          </w:tcPr>
          <w:p w14:paraId="3461AFA7"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0.0001</w:t>
            </w:r>
          </w:p>
        </w:tc>
      </w:tr>
      <w:tr w:rsidR="0078185C" w14:paraId="7091C453" w14:textId="77777777" w:rsidTr="00F67F6E">
        <w:tc>
          <w:tcPr>
            <w:tcW w:w="1796" w:type="dxa"/>
          </w:tcPr>
          <w:p w14:paraId="32FD80D6"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Npp_500m</w:t>
            </w:r>
          </w:p>
        </w:tc>
        <w:tc>
          <w:tcPr>
            <w:tcW w:w="2160" w:type="dxa"/>
          </w:tcPr>
          <w:p w14:paraId="534EE9EC"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annual sum NPP</w:t>
            </w:r>
          </w:p>
        </w:tc>
        <w:tc>
          <w:tcPr>
            <w:tcW w:w="1349" w:type="dxa"/>
          </w:tcPr>
          <w:p w14:paraId="10DD736D" w14:textId="2483EC55" w:rsidR="0078185C" w:rsidRDefault="000B09FC">
            <w:pPr>
              <w:pStyle w:val="PlainText"/>
              <w:jc w:val="both"/>
              <w:rPr>
                <w:rFonts w:ascii="Times New Roman" w:eastAsia="MS Mincho" w:hAnsi="Times New Roman" w:cs="Times New Roman"/>
                <w:sz w:val="24"/>
                <w:szCs w:val="24"/>
              </w:rPr>
            </w:pPr>
            <w:proofErr w:type="spellStart"/>
            <w:r>
              <w:rPr>
                <w:rFonts w:ascii="Times New Roman" w:eastAsia="MS Mincho" w:hAnsi="Times New Roman" w:cs="Times New Roman"/>
                <w:sz w:val="24"/>
                <w:szCs w:val="24"/>
              </w:rPr>
              <w:t>kg</w:t>
            </w:r>
            <w:r w:rsidR="008233B1">
              <w:rPr>
                <w:rFonts w:ascii="Times New Roman" w:eastAsia="MS Mincho" w:hAnsi="Times New Roman" w:cs="Times New Roman"/>
                <w:sz w:val="24"/>
                <w:szCs w:val="24"/>
              </w:rPr>
              <w:t>_</w:t>
            </w:r>
            <w:r>
              <w:rPr>
                <w:rFonts w:ascii="Times New Roman" w:eastAsia="MS Mincho" w:hAnsi="Times New Roman" w:cs="Times New Roman"/>
                <w:sz w:val="24"/>
                <w:szCs w:val="24"/>
              </w:rPr>
              <w:t>C</w:t>
            </w:r>
            <w:proofErr w:type="spellEnd"/>
            <w:r>
              <w:rPr>
                <w:rFonts w:ascii="Times New Roman" w:eastAsia="MS Mincho" w:hAnsi="Times New Roman" w:cs="Times New Roman"/>
                <w:sz w:val="24"/>
                <w:szCs w:val="24"/>
              </w:rPr>
              <w:t>/m</w:t>
            </w:r>
            <w:r>
              <w:rPr>
                <w:rFonts w:ascii="Times New Roman" w:eastAsia="MS Mincho" w:hAnsi="Times New Roman" w:cs="Times New Roman"/>
                <w:sz w:val="24"/>
                <w:szCs w:val="24"/>
                <w:vertAlign w:val="superscript"/>
              </w:rPr>
              <w:t>2</w:t>
            </w:r>
            <w:r>
              <w:rPr>
                <w:rFonts w:ascii="Times New Roman" w:eastAsia="MS Mincho" w:hAnsi="Times New Roman" w:cs="Times New Roman"/>
                <w:sz w:val="24"/>
                <w:szCs w:val="24"/>
              </w:rPr>
              <w:t>/</w:t>
            </w:r>
            <w:proofErr w:type="spellStart"/>
            <w:r>
              <w:rPr>
                <w:rFonts w:ascii="Times New Roman" w:eastAsia="MS Mincho" w:hAnsi="Times New Roman" w:cs="Times New Roman"/>
                <w:sz w:val="24"/>
                <w:szCs w:val="24"/>
              </w:rPr>
              <w:t>yr</w:t>
            </w:r>
            <w:proofErr w:type="spellEnd"/>
          </w:p>
        </w:tc>
        <w:tc>
          <w:tcPr>
            <w:tcW w:w="1261" w:type="dxa"/>
          </w:tcPr>
          <w:p w14:paraId="49CFF01C"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uint16</w:t>
            </w:r>
          </w:p>
        </w:tc>
        <w:tc>
          <w:tcPr>
            <w:tcW w:w="1439" w:type="dxa"/>
          </w:tcPr>
          <w:p w14:paraId="66C6DF31"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0 ~ 65500</w:t>
            </w:r>
          </w:p>
        </w:tc>
        <w:tc>
          <w:tcPr>
            <w:tcW w:w="1440" w:type="dxa"/>
          </w:tcPr>
          <w:p w14:paraId="6D5A021D"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0.0001</w:t>
            </w:r>
          </w:p>
        </w:tc>
      </w:tr>
      <w:tr w:rsidR="0078185C" w14:paraId="76D5FAA1" w14:textId="77777777" w:rsidTr="00F67F6E">
        <w:tc>
          <w:tcPr>
            <w:tcW w:w="1796" w:type="dxa"/>
          </w:tcPr>
          <w:p w14:paraId="0D32119F"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Npp_QC_500m</w:t>
            </w:r>
          </w:p>
        </w:tc>
        <w:tc>
          <w:tcPr>
            <w:tcW w:w="2160" w:type="dxa"/>
          </w:tcPr>
          <w:p w14:paraId="24D2FAC7"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Quality Assessment</w:t>
            </w:r>
          </w:p>
        </w:tc>
        <w:tc>
          <w:tcPr>
            <w:tcW w:w="1349" w:type="dxa"/>
          </w:tcPr>
          <w:p w14:paraId="08ED2CB0"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Percent (%)</w:t>
            </w:r>
          </w:p>
        </w:tc>
        <w:tc>
          <w:tcPr>
            <w:tcW w:w="1261" w:type="dxa"/>
          </w:tcPr>
          <w:p w14:paraId="16A69AE1"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uint8</w:t>
            </w:r>
          </w:p>
        </w:tc>
        <w:tc>
          <w:tcPr>
            <w:tcW w:w="1439" w:type="dxa"/>
          </w:tcPr>
          <w:p w14:paraId="61E9F9F8" w14:textId="77777777" w:rsidR="0078185C" w:rsidRDefault="00000000">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0 ~ 100</w:t>
            </w:r>
          </w:p>
        </w:tc>
        <w:tc>
          <w:tcPr>
            <w:tcW w:w="1440" w:type="dxa"/>
          </w:tcPr>
          <w:p w14:paraId="6419E3D2" w14:textId="120C4BCC" w:rsidR="0078185C" w:rsidRDefault="004F507E">
            <w:pPr>
              <w:pStyle w:val="PlainText"/>
              <w:jc w:val="both"/>
              <w:rPr>
                <w:rFonts w:ascii="Times New Roman" w:eastAsia="MS Mincho" w:hAnsi="Times New Roman" w:cs="Times New Roman"/>
                <w:sz w:val="24"/>
                <w:szCs w:val="24"/>
              </w:rPr>
            </w:pPr>
            <w:r>
              <w:rPr>
                <w:rFonts w:ascii="Times New Roman" w:eastAsia="MS Mincho" w:hAnsi="Times New Roman" w:cs="Times New Roman"/>
                <w:sz w:val="24"/>
                <w:szCs w:val="24"/>
              </w:rPr>
              <w:t>1.0</w:t>
            </w:r>
          </w:p>
        </w:tc>
      </w:tr>
    </w:tbl>
    <w:p w14:paraId="4EA9BA15" w14:textId="77777777" w:rsidR="0078185C" w:rsidRDefault="0078185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MS Mincho"/>
          <w:bCs/>
        </w:rPr>
      </w:pPr>
    </w:p>
    <w:p w14:paraId="7D3CF790" w14:textId="1181C4B6" w:rsidR="007E3FD4" w:rsidRDefault="00000000" w:rsidP="007E3FD4">
      <w:pPr>
        <w:ind w:firstLine="720"/>
        <w:jc w:val="both"/>
        <w:rPr>
          <w:rFonts w:eastAsia="MS Mincho"/>
          <w:bCs/>
        </w:rPr>
      </w:pPr>
      <w:r>
        <w:rPr>
          <w:rFonts w:eastAsia="MS Mincho"/>
          <w:bCs/>
        </w:rPr>
        <w:t>QC data field in annual VNP</w:t>
      </w:r>
      <w:r>
        <w:t>17A3GF</w:t>
      </w:r>
      <w:r>
        <w:rPr>
          <w:rFonts w:eastAsia="MS Mincho"/>
          <w:bCs/>
        </w:rPr>
        <w:t xml:space="preserve">, Npp_QC_500m, is different from most MODIS QC data sets because it is not bitfields but a more meaningful QC assessment for annual composite values. We used the method proposed by Zhao et al. (2005) to define annual QC for gap-filled </w:t>
      </w:r>
      <w:r w:rsidR="007E3FD4">
        <w:rPr>
          <w:rFonts w:eastAsia="MS Mincho"/>
          <w:bCs/>
        </w:rPr>
        <w:t>VNP</w:t>
      </w:r>
      <w:r>
        <w:rPr>
          <w:rFonts w:eastAsia="MS Mincho"/>
          <w:bCs/>
        </w:rPr>
        <w:t>17A3HGF as:</w:t>
      </w:r>
    </w:p>
    <w:p w14:paraId="6645BF22" w14:textId="77777777" w:rsidR="007E3FD4" w:rsidRDefault="007E3FD4">
      <w:pPr>
        <w:ind w:firstLine="720"/>
        <w:rPr>
          <w:rFonts w:eastAsia="MS Mincho"/>
          <w:bCs/>
        </w:rPr>
      </w:pPr>
    </w:p>
    <w:p w14:paraId="6BCE6AF9" w14:textId="77777777" w:rsidR="007E3FD4" w:rsidRDefault="007E3FD4" w:rsidP="007E3FD4">
      <w:pPr>
        <w:ind w:firstLine="720"/>
        <w:rPr>
          <w:rFonts w:eastAsia="MS Mincho"/>
          <w:bCs/>
        </w:rPr>
      </w:pPr>
      <w:r>
        <w:rPr>
          <w:rFonts w:eastAsia="MS Mincho"/>
          <w:bCs/>
        </w:rPr>
        <w:t xml:space="preserve">NPP_QC_500m = 1.00 x N / </w:t>
      </w:r>
      <w:proofErr w:type="spellStart"/>
      <w:r>
        <w:rPr>
          <w:rFonts w:eastAsia="MS Mincho"/>
          <w:bCs/>
        </w:rPr>
        <w:t>Totalg</w:t>
      </w:r>
      <w:proofErr w:type="spellEnd"/>
      <w:r>
        <w:rPr>
          <w:rFonts w:eastAsia="MS Mincho"/>
          <w:bCs/>
        </w:rPr>
        <w:tab/>
      </w:r>
      <w:r>
        <w:rPr>
          <w:rFonts w:eastAsia="MS Mincho"/>
          <w:bCs/>
        </w:rPr>
        <w:tab/>
      </w:r>
      <w:r>
        <w:rPr>
          <w:rFonts w:eastAsia="MS Mincho"/>
          <w:bCs/>
        </w:rPr>
        <w:tab/>
      </w:r>
      <w:r>
        <w:rPr>
          <w:rFonts w:eastAsia="MS Mincho"/>
          <w:bCs/>
        </w:rPr>
        <w:tab/>
      </w:r>
      <w:r>
        <w:rPr>
          <w:rFonts w:eastAsia="MS Mincho"/>
          <w:bCs/>
        </w:rPr>
        <w:tab/>
      </w:r>
      <w:r>
        <w:rPr>
          <w:rFonts w:eastAsia="MS Mincho"/>
          <w:bCs/>
        </w:rPr>
        <w:tab/>
      </w:r>
      <w:r>
        <w:rPr>
          <w:rFonts w:eastAsia="MS Mincho"/>
          <w:bCs/>
        </w:rPr>
        <w:tab/>
      </w:r>
      <w:r w:rsidRPr="007E3FD4">
        <w:rPr>
          <w:rFonts w:eastAsia="MS Mincho"/>
          <w:b/>
        </w:rPr>
        <w:t>(4.3)</w:t>
      </w:r>
      <w:r>
        <w:rPr>
          <w:rFonts w:eastAsia="MS Mincho"/>
          <w:bCs/>
        </w:rPr>
        <w:br/>
      </w:r>
    </w:p>
    <w:p w14:paraId="43F204ED" w14:textId="4418FDC9" w:rsidR="0078185C" w:rsidRDefault="00000000" w:rsidP="007E3FD4">
      <w:pPr>
        <w:ind w:firstLine="720"/>
        <w:jc w:val="both"/>
        <w:rPr>
          <w:rFonts w:eastAsia="MS Mincho"/>
          <w:bCs/>
        </w:rPr>
      </w:pPr>
      <w:r>
        <w:rPr>
          <w:rFonts w:eastAsia="MS Mincho"/>
          <w:bCs/>
        </w:rPr>
        <w:t xml:space="preserve">where N is the number of days during growing season with </w:t>
      </w:r>
      <w:r w:rsidR="007E3FD4">
        <w:rPr>
          <w:rFonts w:eastAsia="MS Mincho"/>
          <w:bCs/>
        </w:rPr>
        <w:t xml:space="preserve">poor-quality </w:t>
      </w:r>
      <w:r w:rsidR="000B150A">
        <w:rPr>
          <w:rFonts w:eastAsia="MS Mincho"/>
          <w:bCs/>
        </w:rPr>
        <w:t>VIIRS</w:t>
      </w:r>
      <w:r>
        <w:rPr>
          <w:rFonts w:eastAsia="MS Mincho"/>
          <w:bCs/>
        </w:rPr>
        <w:t xml:space="preserve"> 500m LAI inputs to </w:t>
      </w:r>
      <w:r w:rsidR="000B150A">
        <w:rPr>
          <w:rFonts w:eastAsia="MS Mincho"/>
          <w:bCs/>
        </w:rPr>
        <w:t>VIIRS GPP/NPP</w:t>
      </w:r>
      <w:r>
        <w:rPr>
          <w:rFonts w:eastAsia="MS Mincho"/>
          <w:bCs/>
        </w:rPr>
        <w:t xml:space="preserve"> due to missing or unfavorable atmospheric contaminated </w:t>
      </w:r>
      <w:r w:rsidR="000B150A">
        <w:rPr>
          <w:rFonts w:eastAsia="MS Mincho"/>
          <w:bCs/>
        </w:rPr>
        <w:t>VIIRS</w:t>
      </w:r>
      <w:r>
        <w:rPr>
          <w:rFonts w:eastAsia="MS Mincho"/>
          <w:bCs/>
        </w:rPr>
        <w:t xml:space="preserve"> LAI (hence FPAR) if improvement reprocess is employed. </w:t>
      </w:r>
      <w:proofErr w:type="spellStart"/>
      <w:r>
        <w:rPr>
          <w:rFonts w:eastAsia="MS Mincho"/>
          <w:bCs/>
        </w:rPr>
        <w:t>Totalg</w:t>
      </w:r>
      <w:proofErr w:type="spellEnd"/>
      <w:r>
        <w:rPr>
          <w:rFonts w:eastAsia="MS Mincho"/>
          <w:bCs/>
        </w:rPr>
        <w:t xml:space="preserve"> is total number of days in the growing season. </w:t>
      </w:r>
      <w:r w:rsidR="007E3FD4">
        <w:rPr>
          <w:rFonts w:eastAsia="MS Mincho"/>
          <w:bCs/>
        </w:rPr>
        <w:t xml:space="preserve"> </w:t>
      </w:r>
      <w:r>
        <w:rPr>
          <w:rFonts w:eastAsia="MS Mincho"/>
          <w:bCs/>
        </w:rPr>
        <w:t xml:space="preserve">The growing season is defined as all days with </w:t>
      </w:r>
      <w:proofErr w:type="spellStart"/>
      <w:r>
        <w:rPr>
          <w:rFonts w:eastAsia="MS Mincho"/>
          <w:bCs/>
        </w:rPr>
        <w:t>Tmin</w:t>
      </w:r>
      <w:proofErr w:type="spellEnd"/>
      <w:r>
        <w:rPr>
          <w:rFonts w:eastAsia="MS Mincho"/>
          <w:bCs/>
        </w:rPr>
        <w:t xml:space="preserve"> above the value where stomata close as in the BPLUT. For example, a Npp_QC_500m value of 85 for a pixel implies that during the growing days, for 85 percent of days, Gap-filled input FPAR/LAI had to be used because of unfavorable atmospheric conditions.  As is expected, more humid forested regions tend to have high Npp_QC_500m, whereas dry regions with grasslands or shrubs tend to have low Npp_QC_500m (Figure 6c in Zhao et al., 2005).</w:t>
      </w:r>
    </w:p>
    <w:p w14:paraId="6D975F5C" w14:textId="6A84F0B9" w:rsidR="0078185C" w:rsidRDefault="00000000" w:rsidP="007E3FD4">
      <w:pPr>
        <w:ind w:firstLine="720"/>
        <w:jc w:val="both"/>
        <w:rPr>
          <w:rFonts w:eastAsia="MS Mincho"/>
          <w:bCs/>
        </w:rPr>
      </w:pPr>
      <w:r>
        <w:rPr>
          <w:rFonts w:eastAsia="MS Mincho"/>
          <w:bCs/>
        </w:rPr>
        <w:t>The data type of Npp_QC_500m is unsigned 1-byte integer (uint8) with valid range from 0 to 100.  Though data attributes list one _</w:t>
      </w:r>
      <w:proofErr w:type="spellStart"/>
      <w:r>
        <w:rPr>
          <w:rFonts w:eastAsia="MS Mincho"/>
          <w:bCs/>
        </w:rPr>
        <w:t>FillValue</w:t>
      </w:r>
      <w:proofErr w:type="spellEnd"/>
      <w:r>
        <w:rPr>
          <w:rFonts w:eastAsia="MS Mincho"/>
          <w:bCs/>
        </w:rPr>
        <w:t xml:space="preserve">: 255 in the HDFEOS </w:t>
      </w:r>
      <w:r w:rsidR="003F470C">
        <w:rPr>
          <w:rFonts w:eastAsia="MS Mincho"/>
          <w:bCs/>
        </w:rPr>
        <w:t>VNP</w:t>
      </w:r>
      <w:r>
        <w:rPr>
          <w:rFonts w:eastAsia="MS Mincho"/>
          <w:bCs/>
        </w:rPr>
        <w:t>17A</w:t>
      </w:r>
      <w:r w:rsidR="003F470C">
        <w:rPr>
          <w:rFonts w:eastAsia="MS Mincho"/>
          <w:bCs/>
        </w:rPr>
        <w:t>2</w:t>
      </w:r>
      <w:r>
        <w:rPr>
          <w:rFonts w:eastAsia="MS Mincho"/>
          <w:bCs/>
        </w:rPr>
        <w:t xml:space="preserve">GF, there are, in fact, 7 fill values as listed below for non-vegetated pixels.  </w:t>
      </w:r>
    </w:p>
    <w:p w14:paraId="7332107B" w14:textId="77777777" w:rsidR="0078185C" w:rsidRDefault="0078185C">
      <w:pPr>
        <w:pStyle w:val="PlainText"/>
        <w:jc w:val="both"/>
        <w:rPr>
          <w:rFonts w:ascii="Times New Roman" w:eastAsia="MS Mincho" w:hAnsi="Times New Roman" w:cs="Times New Roman"/>
          <w:sz w:val="24"/>
          <w:szCs w:val="24"/>
        </w:rPr>
      </w:pPr>
    </w:p>
    <w:p w14:paraId="19F38C5C" w14:textId="77777777" w:rsidR="0078185C" w:rsidRDefault="00000000">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 xml:space="preserve">       255 = _</w:t>
      </w:r>
      <w:proofErr w:type="spellStart"/>
      <w:r>
        <w:rPr>
          <w:rFonts w:ascii="Times New Roman" w:eastAsia="MS Mincho" w:hAnsi="Times New Roman" w:cs="Times New Roman"/>
          <w:bCs/>
          <w:sz w:val="24"/>
          <w:szCs w:val="24"/>
          <w:lang w:eastAsia="zh-CN"/>
        </w:rPr>
        <w:t>Fillvalue</w:t>
      </w:r>
      <w:proofErr w:type="spellEnd"/>
      <w:r>
        <w:rPr>
          <w:rFonts w:ascii="Times New Roman" w:eastAsia="MS Mincho" w:hAnsi="Times New Roman" w:cs="Times New Roman"/>
          <w:bCs/>
          <w:sz w:val="24"/>
          <w:szCs w:val="24"/>
          <w:lang w:eastAsia="zh-CN"/>
        </w:rPr>
        <w:t xml:space="preserve">             </w:t>
      </w:r>
    </w:p>
    <w:p w14:paraId="7351F29E" w14:textId="77777777" w:rsidR="0078185C" w:rsidRDefault="00000000">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 xml:space="preserve">       254 = land cover assigned as perennial salt or Water bodies</w:t>
      </w:r>
    </w:p>
    <w:p w14:paraId="187B331E" w14:textId="77777777" w:rsidR="0078185C" w:rsidRDefault="00000000">
      <w:pPr>
        <w:rPr>
          <w:rFonts w:eastAsia="MS Mincho"/>
          <w:bCs/>
        </w:rPr>
      </w:pPr>
      <w:r>
        <w:rPr>
          <w:rFonts w:eastAsia="MS Mincho"/>
          <w:bCs/>
        </w:rPr>
        <w:t xml:space="preserve">       253 = land cover assigned as </w:t>
      </w:r>
      <w:proofErr w:type="spellStart"/>
      <w:proofErr w:type="gramStart"/>
      <w:r>
        <w:rPr>
          <w:rFonts w:eastAsia="MS Mincho"/>
          <w:bCs/>
        </w:rPr>
        <w:t>barren,sparse</w:t>
      </w:r>
      <w:proofErr w:type="spellEnd"/>
      <w:proofErr w:type="gramEnd"/>
      <w:r>
        <w:rPr>
          <w:rFonts w:eastAsia="MS Mincho"/>
          <w:bCs/>
        </w:rPr>
        <w:t xml:space="preserve"> veg (</w:t>
      </w:r>
      <w:proofErr w:type="spellStart"/>
      <w:r>
        <w:rPr>
          <w:rFonts w:eastAsia="MS Mincho"/>
          <w:bCs/>
        </w:rPr>
        <w:t>rock,tundra,desert</w:t>
      </w:r>
      <w:proofErr w:type="spellEnd"/>
      <w:r>
        <w:rPr>
          <w:rFonts w:eastAsia="MS Mincho"/>
          <w:bCs/>
        </w:rPr>
        <w:t xml:space="preserve">) (A3/A3GF), also </w:t>
      </w:r>
    </w:p>
    <w:p w14:paraId="75722627" w14:textId="77777777" w:rsidR="0078185C" w:rsidRDefault="00000000">
      <w:pPr>
        <w:ind w:left="720"/>
        <w:rPr>
          <w:rFonts w:eastAsia="MS Mincho"/>
          <w:bCs/>
        </w:rPr>
      </w:pPr>
      <w:r>
        <w:rPr>
          <w:rFonts w:eastAsia="MS Mincho"/>
          <w:bCs/>
        </w:rPr>
        <w:t xml:space="preserve">      used for data gaps (A3) </w:t>
      </w:r>
    </w:p>
    <w:p w14:paraId="60CE66B2" w14:textId="77777777" w:rsidR="0078185C" w:rsidRDefault="00000000">
      <w:pPr>
        <w:rPr>
          <w:rFonts w:eastAsia="MS Mincho"/>
          <w:bCs/>
        </w:rPr>
      </w:pPr>
      <w:r>
        <w:rPr>
          <w:rFonts w:eastAsia="MS Mincho"/>
          <w:bCs/>
        </w:rPr>
        <w:t xml:space="preserve">                 from cloud cover and snow for vegetated pixels</w:t>
      </w:r>
    </w:p>
    <w:p w14:paraId="7965509F" w14:textId="77777777" w:rsidR="0078185C" w:rsidRDefault="00000000">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 xml:space="preserve">       252 = land cover assigned as perennial </w:t>
      </w:r>
      <w:proofErr w:type="spellStart"/>
      <w:proofErr w:type="gramStart"/>
      <w:r>
        <w:rPr>
          <w:rFonts w:ascii="Times New Roman" w:eastAsia="MS Mincho" w:hAnsi="Times New Roman" w:cs="Times New Roman"/>
          <w:bCs/>
          <w:sz w:val="24"/>
          <w:szCs w:val="24"/>
          <w:lang w:eastAsia="zh-CN"/>
        </w:rPr>
        <w:t>snow,ice</w:t>
      </w:r>
      <w:proofErr w:type="spellEnd"/>
      <w:proofErr w:type="gramEnd"/>
      <w:r>
        <w:rPr>
          <w:rFonts w:ascii="Times New Roman" w:eastAsia="MS Mincho" w:hAnsi="Times New Roman" w:cs="Times New Roman"/>
          <w:bCs/>
          <w:sz w:val="24"/>
          <w:szCs w:val="24"/>
          <w:lang w:eastAsia="zh-CN"/>
        </w:rPr>
        <w:t>.</w:t>
      </w:r>
    </w:p>
    <w:p w14:paraId="0DB21349" w14:textId="77777777" w:rsidR="0078185C" w:rsidRDefault="00000000">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 xml:space="preserve">       251 = land cover assigned as "permanent" wetlands/inundated marshland</w:t>
      </w:r>
    </w:p>
    <w:p w14:paraId="798D9409" w14:textId="77777777" w:rsidR="0078185C" w:rsidRDefault="00000000">
      <w:pPr>
        <w:pStyle w:val="PlainText"/>
        <w:jc w:val="both"/>
        <w:rPr>
          <w:rFonts w:ascii="Times New Roman" w:eastAsia="MS Mincho" w:hAnsi="Times New Roman" w:cs="Times New Roman"/>
          <w:bCs/>
          <w:sz w:val="24"/>
          <w:szCs w:val="24"/>
          <w:lang w:eastAsia="zh-CN"/>
        </w:rPr>
      </w:pPr>
      <w:r>
        <w:rPr>
          <w:rFonts w:ascii="Times New Roman" w:eastAsia="MS Mincho" w:hAnsi="Times New Roman" w:cs="Times New Roman"/>
          <w:bCs/>
          <w:sz w:val="24"/>
          <w:szCs w:val="24"/>
          <w:lang w:eastAsia="zh-CN"/>
        </w:rPr>
        <w:t xml:space="preserve">       250 = land cover assigned as urban/built-up</w:t>
      </w:r>
    </w:p>
    <w:p w14:paraId="37284A76"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       249 = land cover assigned as "unclassified" or not able to determine</w:t>
      </w:r>
    </w:p>
    <w:p w14:paraId="1CED7E18" w14:textId="77777777" w:rsidR="001E7D55" w:rsidRDefault="001E7D55">
      <w:pPr>
        <w:pStyle w:val="PlainText"/>
        <w:jc w:val="both"/>
        <w:rPr>
          <w:rFonts w:ascii="Times New Roman" w:eastAsia="MS Mincho" w:hAnsi="Times New Roman" w:cs="Times New Roman"/>
          <w:bCs/>
          <w:sz w:val="24"/>
          <w:szCs w:val="24"/>
        </w:rPr>
      </w:pPr>
    </w:p>
    <w:p w14:paraId="6DC52BCB" w14:textId="494D04B5" w:rsidR="001E7D55" w:rsidRDefault="001E7D55">
      <w:pPr>
        <w:pStyle w:val="PlainText"/>
        <w:jc w:val="both"/>
        <w:rPr>
          <w:rFonts w:ascii="Times New Roman" w:eastAsia="MS Mincho" w:hAnsi="Times New Roman" w:cs="Times New Roman"/>
          <w:bCs/>
          <w:sz w:val="24"/>
          <w:szCs w:val="24"/>
        </w:rPr>
      </w:pPr>
      <w:r w:rsidRPr="00977C54">
        <w:rPr>
          <w:rFonts w:ascii="Times New Roman" w:eastAsia="MS Mincho" w:hAnsi="Times New Roman" w:cs="Times New Roman"/>
          <w:bCs/>
          <w:sz w:val="24"/>
          <w:szCs w:val="24"/>
        </w:rPr>
        <w:t>Note</w:t>
      </w:r>
      <w:r w:rsidR="00551081">
        <w:rPr>
          <w:rFonts w:ascii="Times New Roman" w:eastAsia="MS Mincho" w:hAnsi="Times New Roman" w:cs="Times New Roman"/>
          <w:bCs/>
          <w:sz w:val="24"/>
          <w:szCs w:val="24"/>
        </w:rPr>
        <w:t>:</w:t>
      </w:r>
      <w:r w:rsidRPr="00977C54">
        <w:rPr>
          <w:rFonts w:ascii="Times New Roman" w:eastAsia="MS Mincho" w:hAnsi="Times New Roman" w:cs="Times New Roman"/>
          <w:bCs/>
          <w:sz w:val="24"/>
          <w:szCs w:val="24"/>
        </w:rPr>
        <w:t xml:space="preserve"> two fill values</w:t>
      </w:r>
      <w:r>
        <w:rPr>
          <w:rFonts w:ascii="Times New Roman" w:eastAsia="MS Mincho" w:hAnsi="Times New Roman" w:cs="Times New Roman"/>
          <w:bCs/>
          <w:sz w:val="24"/>
          <w:szCs w:val="24"/>
        </w:rPr>
        <w:t>,</w:t>
      </w:r>
      <w:r w:rsidRPr="00977C54">
        <w:rPr>
          <w:rFonts w:ascii="Times New Roman" w:eastAsia="MS Mincho" w:hAnsi="Times New Roman" w:cs="Times New Roman"/>
          <w:bCs/>
          <w:sz w:val="24"/>
          <w:szCs w:val="24"/>
        </w:rPr>
        <w:t xml:space="preserve"> 251</w:t>
      </w:r>
      <w:r>
        <w:rPr>
          <w:rFonts w:ascii="Times New Roman" w:eastAsia="MS Mincho" w:hAnsi="Times New Roman" w:cs="Times New Roman"/>
          <w:bCs/>
          <w:sz w:val="24"/>
          <w:szCs w:val="24"/>
        </w:rPr>
        <w:t xml:space="preserve"> and</w:t>
      </w:r>
      <w:r w:rsidRPr="00977C54">
        <w:rPr>
          <w:rFonts w:ascii="Times New Roman" w:eastAsia="MS Mincho" w:hAnsi="Times New Roman" w:cs="Times New Roman"/>
          <w:bCs/>
          <w:sz w:val="24"/>
          <w:szCs w:val="24"/>
        </w:rPr>
        <w:t xml:space="preserve"> 252</w:t>
      </w:r>
      <w:r>
        <w:rPr>
          <w:rFonts w:ascii="Times New Roman" w:eastAsia="MS Mincho" w:hAnsi="Times New Roman" w:cs="Times New Roman"/>
          <w:bCs/>
          <w:sz w:val="24"/>
          <w:szCs w:val="24"/>
        </w:rPr>
        <w:t>,</w:t>
      </w:r>
      <w:r w:rsidRPr="00977C54">
        <w:rPr>
          <w:rFonts w:ascii="Times New Roman" w:eastAsia="MS Mincho" w:hAnsi="Times New Roman" w:cs="Times New Roman"/>
          <w:bCs/>
          <w:sz w:val="24"/>
          <w:szCs w:val="24"/>
        </w:rPr>
        <w:t xml:space="preserve"> in the VIIRS FPAR/LAI are mislabeled as 253, and as a result, the subsequent VIIRS annual Npp_QC_500m mislabeled two fill values</w:t>
      </w:r>
      <w:r>
        <w:rPr>
          <w:rFonts w:ascii="Times New Roman" w:eastAsia="MS Mincho" w:hAnsi="Times New Roman" w:cs="Times New Roman"/>
          <w:bCs/>
          <w:sz w:val="24"/>
          <w:szCs w:val="24"/>
        </w:rPr>
        <w:t>,</w:t>
      </w:r>
      <w:r w:rsidRPr="00977C54">
        <w:rPr>
          <w:rFonts w:ascii="Times New Roman" w:eastAsia="MS Mincho" w:hAnsi="Times New Roman" w:cs="Times New Roman"/>
          <w:bCs/>
          <w:sz w:val="24"/>
          <w:szCs w:val="24"/>
        </w:rPr>
        <w:t xml:space="preserve"> </w:t>
      </w:r>
      <w:r>
        <w:rPr>
          <w:rFonts w:ascii="Times New Roman" w:eastAsia="MS Mincho" w:hAnsi="Times New Roman" w:cs="Times New Roman"/>
          <w:bCs/>
          <w:sz w:val="24"/>
          <w:szCs w:val="24"/>
        </w:rPr>
        <w:t>251</w:t>
      </w:r>
      <w:r w:rsidRPr="00977C54">
        <w:rPr>
          <w:rFonts w:ascii="Times New Roman" w:eastAsia="MS Mincho" w:hAnsi="Times New Roman" w:cs="Times New Roman"/>
          <w:bCs/>
          <w:sz w:val="24"/>
          <w:szCs w:val="24"/>
        </w:rPr>
        <w:t xml:space="preserve"> and </w:t>
      </w:r>
      <w:r>
        <w:rPr>
          <w:rFonts w:ascii="Times New Roman" w:eastAsia="MS Mincho" w:hAnsi="Times New Roman" w:cs="Times New Roman"/>
          <w:bCs/>
          <w:sz w:val="24"/>
          <w:szCs w:val="24"/>
        </w:rPr>
        <w:t>252,</w:t>
      </w:r>
      <w:r w:rsidRPr="00977C54">
        <w:rPr>
          <w:rFonts w:ascii="Times New Roman" w:eastAsia="MS Mincho" w:hAnsi="Times New Roman" w:cs="Times New Roman"/>
          <w:bCs/>
          <w:sz w:val="24"/>
          <w:szCs w:val="24"/>
        </w:rPr>
        <w:t xml:space="preserve"> as </w:t>
      </w:r>
      <w:r>
        <w:rPr>
          <w:rFonts w:ascii="Times New Roman" w:eastAsia="MS Mincho" w:hAnsi="Times New Roman" w:cs="Times New Roman"/>
          <w:bCs/>
          <w:sz w:val="24"/>
          <w:szCs w:val="24"/>
        </w:rPr>
        <w:t>253</w:t>
      </w:r>
      <w:r w:rsidR="00551081">
        <w:rPr>
          <w:rFonts w:ascii="Times New Roman" w:eastAsia="MS Mincho" w:hAnsi="Times New Roman" w:cs="Times New Roman"/>
          <w:bCs/>
          <w:sz w:val="24"/>
          <w:szCs w:val="24"/>
        </w:rPr>
        <w:t xml:space="preserve"> because of data dependence</w:t>
      </w:r>
      <w:r w:rsidRPr="00977C54">
        <w:rPr>
          <w:rFonts w:ascii="Times New Roman" w:eastAsia="MS Mincho" w:hAnsi="Times New Roman" w:cs="Times New Roman"/>
          <w:bCs/>
          <w:sz w:val="24"/>
          <w:szCs w:val="24"/>
        </w:rPr>
        <w:t>.</w:t>
      </w:r>
    </w:p>
    <w:p w14:paraId="12F40E89" w14:textId="77777777" w:rsidR="0078185C" w:rsidRPr="00977C54"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 </w:t>
      </w:r>
    </w:p>
    <w:p w14:paraId="5AEAFA56" w14:textId="77777777" w:rsidR="0078185C" w:rsidRDefault="00000000">
      <w:pPr>
        <w:pStyle w:val="Heading1"/>
        <w:rPr>
          <w:i/>
        </w:rPr>
      </w:pPr>
      <w:bookmarkStart w:id="25" w:name="_Toc181041996"/>
      <w:r>
        <w:t>5. Practical Details for Downloading</w:t>
      </w:r>
      <w:bookmarkEnd w:id="25"/>
    </w:p>
    <w:p w14:paraId="5D98A3F1" w14:textId="77777777" w:rsidR="0078185C" w:rsidRDefault="0078185C">
      <w:pPr>
        <w:pStyle w:val="PlainText"/>
        <w:jc w:val="both"/>
        <w:rPr>
          <w:rFonts w:ascii="Times New Roman" w:eastAsia="MS Mincho" w:hAnsi="Times New Roman" w:cs="Times New Roman"/>
          <w:bCs/>
          <w:sz w:val="24"/>
          <w:szCs w:val="24"/>
        </w:rPr>
      </w:pPr>
    </w:p>
    <w:p w14:paraId="784D571C" w14:textId="77777777" w:rsidR="0078185C" w:rsidRDefault="00000000">
      <w:pPr>
        <w:pStyle w:val="PlainText"/>
        <w:ind w:firstLine="720"/>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All VIIRS land data products are distributed to global users from the Land Processes Distributed Active Archive Center, found here: </w:t>
      </w:r>
    </w:p>
    <w:p w14:paraId="50C86B8C" w14:textId="77777777" w:rsidR="0078185C" w:rsidRDefault="0078185C">
      <w:pPr>
        <w:pStyle w:val="PlainText"/>
        <w:jc w:val="both"/>
        <w:rPr>
          <w:rFonts w:ascii="Times New Roman" w:eastAsia="MS Mincho" w:hAnsi="Times New Roman" w:cs="Times New Roman"/>
          <w:bCs/>
          <w:sz w:val="24"/>
          <w:szCs w:val="24"/>
        </w:rPr>
      </w:pPr>
    </w:p>
    <w:p w14:paraId="41642E33" w14:textId="77777777" w:rsidR="0078185C" w:rsidRDefault="0078185C">
      <w:pPr>
        <w:pStyle w:val="PlainText"/>
        <w:jc w:val="both"/>
        <w:rPr>
          <w:rFonts w:ascii="Times New Roman" w:eastAsia="MS Mincho" w:hAnsi="Times New Roman" w:cs="Times New Roman"/>
          <w:bCs/>
          <w:sz w:val="24"/>
          <w:szCs w:val="24"/>
        </w:rPr>
      </w:pPr>
      <w:hyperlink r:id="rId37">
        <w:r>
          <w:rPr>
            <w:rStyle w:val="Hyperlink"/>
            <w:rFonts w:ascii="Times New Roman" w:eastAsia="MS Mincho" w:hAnsi="Times New Roman" w:cs="Times New Roman"/>
            <w:bCs/>
            <w:sz w:val="24"/>
            <w:szCs w:val="24"/>
          </w:rPr>
          <w:t>https://lpdaac.usgs.gov/</w:t>
        </w:r>
      </w:hyperlink>
    </w:p>
    <w:p w14:paraId="60EDCC55" w14:textId="77777777" w:rsidR="0078185C" w:rsidRDefault="0078185C">
      <w:pPr>
        <w:pStyle w:val="PlainText"/>
        <w:jc w:val="both"/>
        <w:rPr>
          <w:rFonts w:ascii="Times New Roman" w:eastAsia="MS Mincho" w:hAnsi="Times New Roman" w:cs="Times New Roman"/>
          <w:bCs/>
          <w:sz w:val="24"/>
          <w:szCs w:val="24"/>
        </w:rPr>
      </w:pPr>
    </w:p>
    <w:p w14:paraId="49E3AB61"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Specific details about VIIRS land products, including GPP/NPP, can be found here: </w:t>
      </w:r>
    </w:p>
    <w:p w14:paraId="3BBB8815" w14:textId="77777777" w:rsidR="0078185C" w:rsidRDefault="0078185C">
      <w:pPr>
        <w:rPr>
          <w:rFonts w:ascii="Arial" w:hAnsi="Arial" w:cs="Arial"/>
          <w:highlight w:val="white"/>
        </w:rPr>
      </w:pPr>
    </w:p>
    <w:p w14:paraId="75BE4D15" w14:textId="77777777" w:rsidR="0078185C" w:rsidRDefault="0078185C">
      <w:pPr>
        <w:pStyle w:val="PlainText"/>
        <w:jc w:val="both"/>
        <w:rPr>
          <w:rStyle w:val="Hyperlink"/>
          <w:rFonts w:ascii="Times New Roman" w:eastAsia="MS Mincho" w:hAnsi="Times New Roman" w:cs="Times New Roman"/>
          <w:bCs/>
          <w:sz w:val="24"/>
          <w:szCs w:val="24"/>
        </w:rPr>
      </w:pPr>
      <w:hyperlink r:id="rId38">
        <w:r>
          <w:rPr>
            <w:rStyle w:val="Hyperlink"/>
            <w:rFonts w:ascii="Times New Roman" w:eastAsia="MS Mincho" w:hAnsi="Times New Roman" w:cs="Times New Roman"/>
            <w:bCs/>
            <w:sz w:val="24"/>
            <w:szCs w:val="24"/>
          </w:rPr>
          <w:t>https://viirsland.gsfc.nasa.gov/Products/NASA/NASAprod.html</w:t>
        </w:r>
      </w:hyperlink>
    </w:p>
    <w:p w14:paraId="55B91B0D" w14:textId="77777777" w:rsidR="0078185C" w:rsidRDefault="0078185C">
      <w:pPr>
        <w:pStyle w:val="PlainText"/>
        <w:jc w:val="both"/>
        <w:rPr>
          <w:rStyle w:val="Hyperlink"/>
          <w:rFonts w:ascii="Times New Roman" w:eastAsia="MS Mincho" w:hAnsi="Times New Roman" w:cs="Times New Roman"/>
          <w:bCs/>
          <w:sz w:val="24"/>
          <w:szCs w:val="24"/>
        </w:rPr>
      </w:pPr>
    </w:p>
    <w:p w14:paraId="2DC7B5FE" w14:textId="77777777"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For users who already have knowledge of which VIIRS 10-degree tiles should be downloaded, the other way to download the data from USGS LPDAAC is through its data pool at the below address:</w:t>
      </w:r>
    </w:p>
    <w:p w14:paraId="6810F0D1" w14:textId="77777777" w:rsidR="0078185C" w:rsidRDefault="0078185C">
      <w:pPr>
        <w:pStyle w:val="PlainText"/>
        <w:jc w:val="both"/>
        <w:rPr>
          <w:rFonts w:ascii="Times New Roman" w:eastAsia="MS Mincho" w:hAnsi="Times New Roman" w:cs="Times New Roman"/>
          <w:bCs/>
          <w:sz w:val="24"/>
          <w:szCs w:val="24"/>
        </w:rPr>
      </w:pPr>
    </w:p>
    <w:p w14:paraId="274223B7" w14:textId="77777777" w:rsidR="0078185C" w:rsidRDefault="0078185C">
      <w:pPr>
        <w:pStyle w:val="PlainText"/>
        <w:jc w:val="both"/>
        <w:rPr>
          <w:rFonts w:ascii="Times New Roman" w:eastAsia="MS Mincho" w:hAnsi="Times New Roman" w:cs="Times New Roman"/>
          <w:bCs/>
          <w:sz w:val="24"/>
          <w:szCs w:val="24"/>
        </w:rPr>
      </w:pPr>
      <w:hyperlink r:id="rId39">
        <w:r>
          <w:rPr>
            <w:rStyle w:val="Hyperlink"/>
            <w:rFonts w:ascii="Times New Roman" w:eastAsia="MS Mincho" w:hAnsi="Times New Roman" w:cs="Times New Roman"/>
            <w:bCs/>
            <w:sz w:val="24"/>
            <w:szCs w:val="24"/>
          </w:rPr>
          <w:t>https://e4ftl01.cr.usgs.gov/VIIRS/</w:t>
        </w:r>
      </w:hyperlink>
    </w:p>
    <w:p w14:paraId="74E797DC" w14:textId="77777777" w:rsidR="0078185C" w:rsidRDefault="0078185C">
      <w:pPr>
        <w:pStyle w:val="PlainText"/>
        <w:jc w:val="both"/>
        <w:rPr>
          <w:rFonts w:ascii="Times New Roman" w:eastAsia="MS Mincho" w:hAnsi="Times New Roman" w:cs="Times New Roman"/>
          <w:bCs/>
          <w:sz w:val="24"/>
          <w:szCs w:val="24"/>
          <w:u w:val="single"/>
        </w:rPr>
      </w:pPr>
    </w:p>
    <w:p w14:paraId="046507BD" w14:textId="77777777" w:rsidR="0078185C" w:rsidRDefault="00000000">
      <w:pPr>
        <w:pStyle w:val="Heading1"/>
        <w:rPr>
          <w:i/>
        </w:rPr>
      </w:pPr>
      <w:bookmarkStart w:id="26" w:name="_Toc181041997"/>
      <w:r>
        <w:t>6. New Science and Applications using MOD17</w:t>
      </w:r>
      <w:bookmarkEnd w:id="26"/>
    </w:p>
    <w:p w14:paraId="25AF7EAE" w14:textId="77777777" w:rsidR="0078185C" w:rsidRDefault="0078185C">
      <w:pPr>
        <w:pStyle w:val="PlainText"/>
        <w:jc w:val="both"/>
        <w:rPr>
          <w:rFonts w:ascii="Times New Roman" w:eastAsia="MS Mincho" w:hAnsi="Times New Roman" w:cs="Times New Roman"/>
          <w:b/>
          <w:sz w:val="24"/>
          <w:szCs w:val="24"/>
        </w:rPr>
      </w:pPr>
    </w:p>
    <w:p w14:paraId="0ECFE763" w14:textId="1D408CCB" w:rsidR="0078185C" w:rsidRDefault="00000000">
      <w:pPr>
        <w:pStyle w:val="PlainText"/>
        <w:jc w:val="both"/>
        <w:rPr>
          <w:rFonts w:ascii="Times New Roman" w:eastAsia="MS Mincho" w:hAnsi="Times New Roman" w:cs="Times New Roman"/>
          <w:bCs/>
          <w:sz w:val="24"/>
          <w:szCs w:val="24"/>
        </w:rPr>
      </w:pPr>
      <w:r>
        <w:rPr>
          <w:rFonts w:ascii="Times New Roman" w:eastAsia="MS Mincho" w:hAnsi="Times New Roman" w:cs="Times New Roman"/>
          <w:b/>
          <w:sz w:val="24"/>
          <w:szCs w:val="24"/>
        </w:rPr>
        <w:tab/>
      </w:r>
      <w:r>
        <w:rPr>
          <w:rFonts w:ascii="Times New Roman" w:eastAsia="MS Mincho" w:hAnsi="Times New Roman" w:cs="Times New Roman"/>
          <w:bCs/>
          <w:sz w:val="24"/>
          <w:szCs w:val="24"/>
        </w:rPr>
        <w:t>As we are writing this User Guide, the VIIRS GPP/NPP data products have not yet been delivered. Until then, we provided, below, some examples of</w:t>
      </w:r>
      <w:r w:rsidR="000B150A">
        <w:rPr>
          <w:rFonts w:ascii="Times New Roman" w:eastAsia="MS Mincho" w:hAnsi="Times New Roman" w:cs="Times New Roman"/>
          <w:bCs/>
          <w:sz w:val="24"/>
          <w:szCs w:val="24"/>
        </w:rPr>
        <w:t xml:space="preserve"> </w:t>
      </w:r>
      <w:r>
        <w:rPr>
          <w:rFonts w:ascii="Times New Roman" w:eastAsia="MS Mincho" w:hAnsi="Times New Roman" w:cs="Times New Roman"/>
          <w:bCs/>
          <w:sz w:val="24"/>
          <w:szCs w:val="24"/>
        </w:rPr>
        <w:t>science applications using MODIS MOD17. The information may help users learn how to apply VIIRS GPP/NPP for their purposes when the VIIRS VNP17 data products are released to the public.</w:t>
      </w:r>
    </w:p>
    <w:p w14:paraId="608DEACE" w14:textId="50661A77" w:rsidR="0078185C" w:rsidRDefault="0078185C">
      <w:pPr>
        <w:pStyle w:val="PlainText"/>
        <w:jc w:val="both"/>
        <w:rPr>
          <w:rFonts w:ascii="Times New Roman" w:eastAsia="MS Mincho" w:hAnsi="Times New Roman" w:cs="Times New Roman"/>
          <w:bCs/>
          <w:sz w:val="24"/>
          <w:szCs w:val="24"/>
        </w:rPr>
      </w:pPr>
    </w:p>
    <w:p w14:paraId="55405543" w14:textId="0325C0B9" w:rsidR="0078185C" w:rsidRDefault="00000000" w:rsidP="29B8089E">
      <w:pPr>
        <w:pStyle w:val="PlainText"/>
        <w:ind w:firstLine="720"/>
        <w:jc w:val="both"/>
        <w:rPr>
          <w:rFonts w:ascii="Times New Roman" w:eastAsia="MS Mincho" w:hAnsi="Times New Roman" w:cs="Times New Roman"/>
          <w:b/>
          <w:bCs/>
          <w:sz w:val="24"/>
          <w:szCs w:val="24"/>
        </w:rPr>
      </w:pPr>
      <w:r>
        <w:rPr>
          <w:rFonts w:ascii="Times New Roman" w:eastAsia="MS Mincho" w:hAnsi="Times New Roman" w:cs="Times New Roman"/>
          <w:sz w:val="24"/>
          <w:szCs w:val="24"/>
        </w:rPr>
        <w:t>Because NPP is the first tangible</w:t>
      </w:r>
      <w:r w:rsidRPr="29B8089E">
        <w:rPr>
          <w:rFonts w:ascii="Times New Roman" w:eastAsia="MS Mincho" w:hAnsi="Times New Roman" w:cs="Times New Roman"/>
          <w:b/>
          <w:bCs/>
          <w:sz w:val="24"/>
          <w:szCs w:val="24"/>
        </w:rPr>
        <w:t xml:space="preserve"> </w:t>
      </w:r>
      <w:r>
        <w:rPr>
          <w:rFonts w:ascii="Times New Roman" w:eastAsia="MS Mincho" w:hAnsi="Times New Roman" w:cs="Times New Roman"/>
          <w:sz w:val="24"/>
          <w:szCs w:val="24"/>
        </w:rPr>
        <w:t>step in the transfer and storage of carbon (CO</w:t>
      </w:r>
      <w:r w:rsidRPr="00977C54">
        <w:rPr>
          <w:rFonts w:ascii="Times New Roman" w:eastAsia="MS Mincho" w:hAnsi="Times New Roman" w:cs="Times New Roman"/>
          <w:sz w:val="24"/>
          <w:szCs w:val="24"/>
          <w:vertAlign w:val="subscript"/>
        </w:rPr>
        <w:t>2</w:t>
      </w:r>
      <w:r>
        <w:rPr>
          <w:rFonts w:ascii="Times New Roman" w:eastAsia="MS Mincho" w:hAnsi="Times New Roman" w:cs="Times New Roman"/>
          <w:sz w:val="24"/>
          <w:szCs w:val="24"/>
        </w:rPr>
        <w:t>) from the atmosphere to the biosphere, there have been a lot of applications of MOD17 for global carbon cycle studies. While the net CO</w:t>
      </w:r>
      <w:r w:rsidRPr="00977C54">
        <w:rPr>
          <w:rFonts w:ascii="Times New Roman" w:eastAsia="MS Mincho" w:hAnsi="Times New Roman" w:cs="Times New Roman"/>
          <w:sz w:val="24"/>
          <w:szCs w:val="24"/>
          <w:vertAlign w:val="subscript"/>
        </w:rPr>
        <w:t>2</w:t>
      </w:r>
      <w:r>
        <w:rPr>
          <w:rFonts w:ascii="Times New Roman" w:eastAsia="MS Mincho" w:hAnsi="Times New Roman" w:cs="Times New Roman"/>
          <w:sz w:val="24"/>
          <w:szCs w:val="24"/>
        </w:rPr>
        <w:t xml:space="preserve"> balance, NEE, of the land surface is of greatest interest to climate modelers, global NPP avoids the difficult problem of computing soil respiration and decomposition losses. </w:t>
      </w:r>
      <w:r w:rsidR="29B8089E" w:rsidRPr="29B8089E">
        <w:rPr>
          <w:rFonts w:ascii="Times New Roman" w:eastAsia="MS Mincho" w:hAnsi="Times New Roman" w:cs="Times New Roman"/>
          <w:sz w:val="24"/>
          <w:szCs w:val="24"/>
        </w:rPr>
        <w:t>Global time series data on</w:t>
      </w:r>
      <w:r>
        <w:rPr>
          <w:rFonts w:ascii="Times New Roman" w:eastAsia="MS Mincho" w:hAnsi="Times New Roman" w:cs="Times New Roman"/>
          <w:sz w:val="24"/>
          <w:szCs w:val="24"/>
        </w:rPr>
        <w:t xml:space="preserve"> NPP</w:t>
      </w:r>
      <w:r w:rsidR="29B8089E" w:rsidRPr="29B8089E">
        <w:rPr>
          <w:rFonts w:ascii="Times New Roman" w:eastAsia="MS Mincho" w:hAnsi="Times New Roman" w:cs="Times New Roman"/>
          <w:sz w:val="24"/>
          <w:szCs w:val="24"/>
        </w:rPr>
        <w:t xml:space="preserve"> have been used to study climate drivers of change in ecosystem carbon balance</w:t>
      </w:r>
      <w:r>
        <w:rPr>
          <w:rFonts w:ascii="Times New Roman" w:eastAsia="MS Mincho" w:hAnsi="Times New Roman" w:cs="Times New Roman"/>
          <w:sz w:val="24"/>
          <w:szCs w:val="24"/>
        </w:rPr>
        <w:t xml:space="preserve"> (</w:t>
      </w:r>
      <w:proofErr w:type="spellStart"/>
      <w:r>
        <w:rPr>
          <w:rFonts w:ascii="Times New Roman" w:eastAsia="MS Mincho" w:hAnsi="Times New Roman" w:cs="Times New Roman"/>
          <w:sz w:val="24"/>
          <w:szCs w:val="24"/>
        </w:rPr>
        <w:t>Nemani</w:t>
      </w:r>
      <w:proofErr w:type="spellEnd"/>
      <w:r>
        <w:rPr>
          <w:rFonts w:ascii="Times New Roman" w:eastAsia="MS Mincho" w:hAnsi="Times New Roman" w:cs="Times New Roman"/>
          <w:sz w:val="24"/>
          <w:szCs w:val="24"/>
        </w:rPr>
        <w:t xml:space="preserve"> et al. 2003</w:t>
      </w:r>
      <w:r w:rsidR="007D37B9">
        <w:rPr>
          <w:rFonts w:ascii="Times New Roman" w:eastAsia="MS Mincho" w:hAnsi="Times New Roman" w:cs="Times New Roman"/>
          <w:sz w:val="24"/>
          <w:szCs w:val="24"/>
        </w:rPr>
        <w:t>;</w:t>
      </w:r>
      <w:r>
        <w:rPr>
          <w:rFonts w:ascii="Times New Roman" w:eastAsia="MS Mincho" w:hAnsi="Times New Roman" w:cs="Times New Roman"/>
          <w:sz w:val="24"/>
          <w:szCs w:val="24"/>
        </w:rPr>
        <w:t xml:space="preserve"> Zhao and Running 2010).</w:t>
      </w:r>
      <w:r w:rsidR="29B8089E" w:rsidRPr="29B8089E">
        <w:rPr>
          <w:rFonts w:ascii="Times New Roman" w:eastAsia="MS Mincho" w:hAnsi="Times New Roman" w:cs="Times New Roman"/>
          <w:sz w:val="24"/>
          <w:szCs w:val="24"/>
        </w:rPr>
        <w:t xml:space="preserve"> Recently, MODIS NPP data have been used to estimate below-ground net carbon fixation (</w:t>
      </w:r>
      <w:proofErr w:type="spellStart"/>
      <w:r w:rsidR="29B8089E" w:rsidRPr="29B8089E">
        <w:rPr>
          <w:rFonts w:ascii="Times New Roman" w:eastAsia="MS Mincho" w:hAnsi="Times New Roman" w:cs="Times New Roman"/>
          <w:sz w:val="24"/>
          <w:szCs w:val="24"/>
        </w:rPr>
        <w:t>Gherardi</w:t>
      </w:r>
      <w:proofErr w:type="spellEnd"/>
      <w:r w:rsidR="29B8089E" w:rsidRPr="29B8089E">
        <w:rPr>
          <w:rFonts w:ascii="Times New Roman" w:eastAsia="MS Mincho" w:hAnsi="Times New Roman" w:cs="Times New Roman"/>
          <w:sz w:val="24"/>
          <w:szCs w:val="24"/>
        </w:rPr>
        <w:t xml:space="preserve"> &amp; Sala, 2020).</w:t>
      </w:r>
      <w:r>
        <w:rPr>
          <w:rFonts w:ascii="Times New Roman" w:eastAsia="MS Mincho" w:hAnsi="Times New Roman" w:cs="Times New Roman"/>
          <w:sz w:val="24"/>
          <w:szCs w:val="24"/>
        </w:rPr>
        <w:t xml:space="preserve"> Bastos et al. </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2012</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 xml:space="preserve"> and Poulter et al. </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2014</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 xml:space="preserve"> explored the causes of the </w:t>
      </w:r>
      <w:r w:rsidR="29B8089E" w:rsidRPr="29B8089E">
        <w:rPr>
          <w:rFonts w:ascii="Times New Roman" w:eastAsia="MS Mincho" w:hAnsi="Times New Roman" w:cs="Times New Roman"/>
          <w:sz w:val="24"/>
          <w:szCs w:val="24"/>
        </w:rPr>
        <w:t>highest</w:t>
      </w:r>
      <w:r>
        <w:rPr>
          <w:rFonts w:ascii="Times New Roman" w:eastAsia="MS Mincho" w:hAnsi="Times New Roman" w:cs="Times New Roman"/>
          <w:sz w:val="24"/>
          <w:szCs w:val="24"/>
        </w:rPr>
        <w:t xml:space="preserve"> annual global NPP</w:t>
      </w:r>
      <w:r w:rsidR="29B8089E" w:rsidRPr="29B8089E">
        <w:rPr>
          <w:rFonts w:ascii="Times New Roman" w:eastAsia="MS Mincho" w:hAnsi="Times New Roman" w:cs="Times New Roman"/>
          <w:sz w:val="24"/>
          <w:szCs w:val="24"/>
        </w:rPr>
        <w:t xml:space="preserve"> flux</w:t>
      </w:r>
      <w:r>
        <w:rPr>
          <w:rFonts w:ascii="Times New Roman" w:eastAsia="MS Mincho" w:hAnsi="Times New Roman" w:cs="Times New Roman"/>
          <w:sz w:val="24"/>
          <w:szCs w:val="24"/>
        </w:rPr>
        <w:t xml:space="preserve"> recorded</w:t>
      </w:r>
      <w:r w:rsidR="29B8089E" w:rsidRPr="29B8089E">
        <w:rPr>
          <w:rFonts w:ascii="Times New Roman" w:eastAsia="MS Mincho" w:hAnsi="Times New Roman" w:cs="Times New Roman"/>
          <w:sz w:val="24"/>
          <w:szCs w:val="24"/>
        </w:rPr>
        <w:t xml:space="preserve"> so far</w:t>
      </w:r>
      <w:r>
        <w:rPr>
          <w:rFonts w:ascii="Times New Roman" w:eastAsia="MS Mincho" w:hAnsi="Times New Roman" w:cs="Times New Roman"/>
          <w:sz w:val="24"/>
          <w:szCs w:val="24"/>
        </w:rPr>
        <w:t xml:space="preserve">, in 2011, and found that abundant rainfall in arid lands </w:t>
      </w:r>
      <w:r w:rsidR="29B8089E" w:rsidRPr="29B8089E">
        <w:rPr>
          <w:rFonts w:ascii="Times New Roman" w:eastAsia="MS Mincho" w:hAnsi="Times New Roman" w:cs="Times New Roman"/>
          <w:sz w:val="24"/>
          <w:szCs w:val="24"/>
        </w:rPr>
        <w:t>explains</w:t>
      </w:r>
      <w:r>
        <w:rPr>
          <w:rFonts w:ascii="Times New Roman" w:eastAsia="MS Mincho" w:hAnsi="Times New Roman" w:cs="Times New Roman"/>
          <w:sz w:val="24"/>
          <w:szCs w:val="24"/>
        </w:rPr>
        <w:t xml:space="preserve"> much of the anomaly. Cleveland et al. </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2013</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 xml:space="preserve"> explored the role of NPP in constraining complex biogeochemical cycles globally. And Running </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2012</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 postulated that global NPP might be a carbon</w:t>
      </w:r>
      <w:r w:rsidR="29B8089E" w:rsidRPr="29B8089E">
        <w:rPr>
          <w:rFonts w:ascii="Times New Roman" w:eastAsia="MS Mincho" w:hAnsi="Times New Roman" w:cs="Times New Roman"/>
          <w:sz w:val="24"/>
          <w:szCs w:val="24"/>
        </w:rPr>
        <w:t>-</w:t>
      </w:r>
      <w:r>
        <w:rPr>
          <w:rFonts w:ascii="Times New Roman" w:eastAsia="MS Mincho" w:hAnsi="Times New Roman" w:cs="Times New Roman"/>
          <w:sz w:val="24"/>
          <w:szCs w:val="24"/>
        </w:rPr>
        <w:t xml:space="preserve">cycle planetary boundary, because very little change has occurred in global NPP </w:t>
      </w:r>
      <w:r w:rsidR="29B8089E" w:rsidRPr="29B8089E">
        <w:rPr>
          <w:rFonts w:ascii="Times New Roman" w:eastAsia="MS Mincho" w:hAnsi="Times New Roman" w:cs="Times New Roman"/>
          <w:sz w:val="24"/>
          <w:szCs w:val="24"/>
        </w:rPr>
        <w:t>during</w:t>
      </w:r>
      <w:r>
        <w:rPr>
          <w:rFonts w:ascii="Times New Roman" w:eastAsia="MS Mincho" w:hAnsi="Times New Roman" w:cs="Times New Roman"/>
          <w:sz w:val="24"/>
          <w:szCs w:val="24"/>
        </w:rPr>
        <w:t xml:space="preserve"> the 30+ years of </w:t>
      </w:r>
      <w:r w:rsidR="29B8089E" w:rsidRPr="29B8089E">
        <w:rPr>
          <w:rFonts w:ascii="Times New Roman" w:eastAsia="MS Mincho" w:hAnsi="Times New Roman" w:cs="Times New Roman"/>
          <w:sz w:val="24"/>
          <w:szCs w:val="24"/>
        </w:rPr>
        <w:t xml:space="preserve">the available satellite </w:t>
      </w:r>
      <w:r>
        <w:rPr>
          <w:rFonts w:ascii="Times New Roman" w:eastAsia="MS Mincho" w:hAnsi="Times New Roman" w:cs="Times New Roman"/>
          <w:sz w:val="24"/>
          <w:szCs w:val="24"/>
        </w:rPr>
        <w:t xml:space="preserve">record. </w:t>
      </w:r>
    </w:p>
    <w:p w14:paraId="078B64D5" w14:textId="0432F6BC" w:rsidR="0078185C" w:rsidRDefault="00000000">
      <w:pPr>
        <w:pStyle w:val="PlainText"/>
        <w:ind w:firstLine="720"/>
        <w:jc w:val="both"/>
        <w:rPr>
          <w:rFonts w:ascii="Times New Roman" w:eastAsia="MS Mincho" w:hAnsi="Times New Roman" w:cs="Times New Roman"/>
          <w:bCs/>
          <w:sz w:val="24"/>
          <w:szCs w:val="24"/>
        </w:rPr>
      </w:pPr>
      <w:r>
        <w:rPr>
          <w:rFonts w:ascii="Times New Roman" w:eastAsia="MS Mincho" w:hAnsi="Times New Roman" w:cs="Times New Roman"/>
          <w:bCs/>
          <w:sz w:val="24"/>
          <w:szCs w:val="24"/>
        </w:rPr>
        <w:t xml:space="preserve">Terrestrial NPP also has high value for evaluating human food, fiber, and fuel issues. </w:t>
      </w:r>
      <w:r>
        <w:rPr>
          <w:rFonts w:ascii="Times New Roman" w:eastAsia="MS Mincho" w:hAnsi="Times New Roman" w:cs="Times New Roman"/>
          <w:sz w:val="24"/>
          <w:szCs w:val="24"/>
        </w:rPr>
        <w:t xml:space="preserve"> </w:t>
      </w:r>
      <w:r>
        <w:rPr>
          <w:rFonts w:ascii="Times New Roman" w:eastAsia="MS Mincho" w:hAnsi="Times New Roman" w:cs="Times New Roman"/>
          <w:bCs/>
          <w:sz w:val="24"/>
          <w:szCs w:val="24"/>
        </w:rPr>
        <w:t>Haberl et al</w:t>
      </w:r>
      <w:r>
        <w:rPr>
          <w:rFonts w:ascii="Times New Roman" w:eastAsia="MS Mincho" w:hAnsi="Times New Roman" w:cs="Times New Roman"/>
          <w:bCs/>
        </w:rPr>
        <w:t>.</w:t>
      </w:r>
      <w:r>
        <w:rPr>
          <w:rFonts w:ascii="Times New Roman" w:eastAsia="MS Mincho" w:hAnsi="Times New Roman" w:cs="Times New Roman"/>
          <w:bCs/>
          <w:sz w:val="24"/>
          <w:szCs w:val="24"/>
        </w:rPr>
        <w:t xml:space="preserve"> (2014) has shown how MODIS NPP can be used to define the Human Appropriation of NPP, or HANPP. Abdi et al</w:t>
      </w:r>
      <w:r>
        <w:rPr>
          <w:rFonts w:ascii="Times New Roman" w:eastAsia="MS Mincho" w:hAnsi="Times New Roman" w:cs="Times New Roman"/>
          <w:bCs/>
        </w:rPr>
        <w:t>.</w:t>
      </w:r>
      <w:r>
        <w:rPr>
          <w:rFonts w:ascii="Times New Roman" w:eastAsia="MS Mincho" w:hAnsi="Times New Roman" w:cs="Times New Roman"/>
          <w:bCs/>
          <w:sz w:val="24"/>
          <w:szCs w:val="24"/>
        </w:rPr>
        <w:t xml:space="preserve"> (2014) showed how regional food supply/demand balances can be analyzed with MOD17 data. The global capacity for bioenergy, estimated by Smith et al</w:t>
      </w:r>
      <w:r>
        <w:rPr>
          <w:rFonts w:ascii="Times New Roman" w:eastAsia="MS Mincho" w:hAnsi="Times New Roman" w:cs="Times New Roman"/>
          <w:bCs/>
        </w:rPr>
        <w:t>.</w:t>
      </w:r>
      <w:r>
        <w:rPr>
          <w:rFonts w:ascii="Times New Roman" w:eastAsia="MS Mincho" w:hAnsi="Times New Roman" w:cs="Times New Roman"/>
          <w:bCs/>
          <w:sz w:val="24"/>
          <w:szCs w:val="24"/>
        </w:rPr>
        <w:t xml:space="preserve"> (201</w:t>
      </w:r>
      <w:r>
        <w:rPr>
          <w:rFonts w:ascii="Times New Roman" w:eastAsia="MS Mincho" w:hAnsi="Times New Roman" w:cs="Times New Roman"/>
          <w:sz w:val="24"/>
          <w:szCs w:val="24"/>
        </w:rPr>
        <w:t>2),</w:t>
      </w:r>
      <w:r>
        <w:rPr>
          <w:rFonts w:ascii="Times New Roman" w:eastAsia="MS Mincho" w:hAnsi="Times New Roman" w:cs="Times New Roman"/>
          <w:bCs/>
          <w:sz w:val="24"/>
          <w:szCs w:val="24"/>
        </w:rPr>
        <w:t xml:space="preserve"> also used MODIS NPP. Ecosystem services and natural capital are attempts to quantify the economic value of ecological processes. Tallis et al. (2012) illustrated how MOD17 NPP could be part of a carbon service calculation. Mora et al. (2015) analyzed global food security and agricultural growing-season potentials with MOD17 NPP.  Allred et al. (2015) analyzed ecosystem plant production potential lost to industrial activity.</w:t>
      </w:r>
    </w:p>
    <w:p w14:paraId="69E8DCEB" w14:textId="3C0C6899" w:rsidR="0078185C" w:rsidRDefault="0078185C">
      <w:pPr>
        <w:pStyle w:val="PlainText"/>
        <w:ind w:firstLine="720"/>
        <w:jc w:val="both"/>
        <w:rPr>
          <w:rFonts w:ascii="Times New Roman" w:eastAsia="MS Mincho" w:hAnsi="Times New Roman" w:cs="Times New Roman"/>
          <w:bCs/>
          <w:sz w:val="24"/>
          <w:szCs w:val="24"/>
        </w:rPr>
      </w:pPr>
    </w:p>
    <w:p w14:paraId="2633CEB9" w14:textId="77777777" w:rsidR="0078185C" w:rsidRDefault="00000000">
      <w:pPr>
        <w:pStyle w:val="PlainText"/>
        <w:jc w:val="both"/>
        <w:rPr>
          <w:rFonts w:ascii="Times New Roman" w:eastAsia="MS Mincho" w:hAnsi="Times New Roman" w:cs="Times New Roman"/>
          <w:sz w:val="24"/>
          <w:szCs w:val="24"/>
        </w:rPr>
      </w:pPr>
      <w:r>
        <w:br w:type="page"/>
      </w:r>
    </w:p>
    <w:p w14:paraId="0711C8AC" w14:textId="77777777" w:rsidR="0078185C" w:rsidRDefault="00000000">
      <w:pPr>
        <w:pStyle w:val="Heading1"/>
        <w:jc w:val="center"/>
        <w:rPr>
          <w:i/>
        </w:rPr>
      </w:pPr>
      <w:bookmarkStart w:id="27" w:name="_Toc181041998"/>
      <w:r>
        <w:lastRenderedPageBreak/>
        <w:t>LIST OF NTSG AUTHORED/CO-AUTHORED PAPERS</w:t>
      </w:r>
      <w:bookmarkEnd w:id="27"/>
    </w:p>
    <w:p w14:paraId="06F8332F" w14:textId="0694AD73" w:rsidR="0078185C" w:rsidRDefault="00000000">
      <w:pPr>
        <w:pStyle w:val="PlainText"/>
        <w:ind w:left="720" w:hanging="720"/>
        <w:jc w:val="center"/>
        <w:rPr>
          <w:rFonts w:ascii="Times New Roman" w:hAnsi="Times New Roman" w:cs="Times New Roman"/>
          <w:b/>
          <w:bCs/>
          <w:sz w:val="28"/>
          <w:szCs w:val="28"/>
        </w:rPr>
      </w:pPr>
      <w:r>
        <w:rPr>
          <w:rFonts w:ascii="Times New Roman" w:hAnsi="Times New Roman" w:cs="Times New Roman"/>
          <w:b/>
          <w:bCs/>
          <w:sz w:val="28"/>
          <w:szCs w:val="28"/>
        </w:rPr>
        <w:t xml:space="preserve">USING </w:t>
      </w:r>
      <w:r w:rsidR="00240839">
        <w:rPr>
          <w:rFonts w:ascii="Times New Roman" w:hAnsi="Times New Roman" w:cs="Times New Roman"/>
          <w:b/>
          <w:bCs/>
          <w:sz w:val="28"/>
          <w:szCs w:val="28"/>
        </w:rPr>
        <w:t>MODIS and VIIRS</w:t>
      </w:r>
      <w:r>
        <w:rPr>
          <w:rFonts w:ascii="Times New Roman" w:hAnsi="Times New Roman" w:cs="Times New Roman"/>
          <w:b/>
          <w:bCs/>
          <w:sz w:val="28"/>
          <w:szCs w:val="28"/>
        </w:rPr>
        <w:t xml:space="preserve"> </w:t>
      </w:r>
      <w:r w:rsidR="00240839">
        <w:rPr>
          <w:rFonts w:ascii="Times New Roman" w:hAnsi="Times New Roman" w:cs="Times New Roman"/>
          <w:b/>
          <w:bCs/>
          <w:sz w:val="28"/>
          <w:szCs w:val="28"/>
        </w:rPr>
        <w:t>GPP/</w:t>
      </w:r>
      <w:r>
        <w:rPr>
          <w:rFonts w:ascii="Times New Roman" w:hAnsi="Times New Roman" w:cs="Times New Roman"/>
          <w:b/>
          <w:bCs/>
          <w:sz w:val="28"/>
          <w:szCs w:val="28"/>
        </w:rPr>
        <w:t xml:space="preserve">NPP:  2000 – </w:t>
      </w:r>
      <w:r w:rsidR="006A2050">
        <w:rPr>
          <w:rFonts w:ascii="Times New Roman" w:hAnsi="Times New Roman" w:cs="Times New Roman"/>
          <w:b/>
          <w:bCs/>
          <w:sz w:val="28"/>
          <w:szCs w:val="28"/>
        </w:rPr>
        <w:t>Present</w:t>
      </w:r>
    </w:p>
    <w:p w14:paraId="4E9A63A6" w14:textId="77777777" w:rsidR="0078185C" w:rsidRDefault="00000000">
      <w:pPr>
        <w:pStyle w:val="PlainText"/>
        <w:ind w:left="720" w:hanging="720"/>
        <w:jc w:val="center"/>
        <w:rPr>
          <w:rFonts w:ascii="Times New Roman" w:hAnsi="Times New Roman" w:cs="Times New Roman"/>
          <w:b/>
          <w:bCs/>
          <w:sz w:val="28"/>
          <w:szCs w:val="28"/>
        </w:rPr>
      </w:pPr>
      <w:r>
        <w:rPr>
          <w:rFonts w:ascii="Times New Roman" w:hAnsi="Times New Roman" w:cs="Times New Roman"/>
          <w:b/>
          <w:bCs/>
          <w:sz w:val="28"/>
          <w:szCs w:val="28"/>
        </w:rPr>
        <w:t xml:space="preserve">[all available at </w:t>
      </w:r>
      <w:hyperlink r:id="rId40">
        <w:r w:rsidR="0078185C">
          <w:rPr>
            <w:rStyle w:val="Hyperlink"/>
            <w:rFonts w:ascii="Times New Roman" w:hAnsi="Times New Roman" w:cs="Times New Roman"/>
            <w:sz w:val="24"/>
            <w:szCs w:val="24"/>
          </w:rPr>
          <w:t>https://scholarworks.umt.edu/ntsg_pubs/</w:t>
        </w:r>
      </w:hyperlink>
      <w:r>
        <w:rPr>
          <w:rFonts w:ascii="Times New Roman" w:hAnsi="Times New Roman" w:cs="Times New Roman"/>
          <w:b/>
          <w:bCs/>
          <w:sz w:val="28"/>
          <w:szCs w:val="28"/>
        </w:rPr>
        <w:t>]</w:t>
      </w:r>
    </w:p>
    <w:p w14:paraId="4B1D477B" w14:textId="77777777" w:rsidR="0078185C" w:rsidRDefault="0078185C">
      <w:pPr>
        <w:pStyle w:val="PlainText"/>
        <w:ind w:left="720" w:hanging="720"/>
        <w:jc w:val="both"/>
        <w:rPr>
          <w:rFonts w:ascii="Times New Roman" w:hAnsi="Times New Roman" w:cs="Times New Roman"/>
          <w:bCs/>
          <w:sz w:val="24"/>
        </w:rPr>
      </w:pPr>
    </w:p>
    <w:p w14:paraId="420756B6" w14:textId="543852AF" w:rsidR="00240839" w:rsidRDefault="00240839" w:rsidP="00240839">
      <w:pPr>
        <w:pStyle w:val="PlainText"/>
        <w:ind w:left="720" w:hanging="720"/>
        <w:jc w:val="both"/>
        <w:rPr>
          <w:rFonts w:ascii="Times New Roman" w:hAnsi="Times New Roman" w:cs="Times New Roman"/>
          <w:bCs/>
          <w:sz w:val="24"/>
        </w:rPr>
      </w:pPr>
      <w:r w:rsidRPr="006F1356">
        <w:rPr>
          <w:rFonts w:ascii="Times New Roman" w:hAnsi="Times New Roman" w:cs="Times New Roman"/>
          <w:bCs/>
          <w:sz w:val="24"/>
        </w:rPr>
        <w:t>Román, M</w:t>
      </w:r>
      <w:r>
        <w:rPr>
          <w:rFonts w:ascii="Times New Roman" w:hAnsi="Times New Roman" w:cs="Times New Roman"/>
          <w:bCs/>
          <w:sz w:val="24"/>
        </w:rPr>
        <w:t>.</w:t>
      </w:r>
      <w:r w:rsidRPr="006F1356">
        <w:rPr>
          <w:rFonts w:ascii="Times New Roman" w:hAnsi="Times New Roman" w:cs="Times New Roman"/>
          <w:bCs/>
          <w:sz w:val="24"/>
        </w:rPr>
        <w:t xml:space="preserve"> O. et al. </w:t>
      </w:r>
      <w:r>
        <w:rPr>
          <w:rFonts w:ascii="Times New Roman" w:hAnsi="Times New Roman" w:cs="Times New Roman"/>
          <w:bCs/>
          <w:sz w:val="24"/>
        </w:rPr>
        <w:t xml:space="preserve">(2024) </w:t>
      </w:r>
      <w:r w:rsidRPr="006F1356">
        <w:rPr>
          <w:rFonts w:ascii="Times New Roman" w:hAnsi="Times New Roman" w:cs="Times New Roman"/>
          <w:bCs/>
          <w:sz w:val="24"/>
        </w:rPr>
        <w:t>Continuity between NASA MODIS Collection 6.1 and VIIRS Collection 2 land products. </w:t>
      </w:r>
      <w:r w:rsidRPr="006F1356">
        <w:rPr>
          <w:rFonts w:ascii="Times New Roman" w:hAnsi="Times New Roman" w:cs="Times New Roman"/>
          <w:bCs/>
          <w:i/>
          <w:iCs/>
          <w:sz w:val="24"/>
        </w:rPr>
        <w:t>Remote Sensing of Environment</w:t>
      </w:r>
      <w:r w:rsidRPr="006F1356">
        <w:rPr>
          <w:rFonts w:ascii="Times New Roman" w:hAnsi="Times New Roman" w:cs="Times New Roman"/>
          <w:bCs/>
          <w:sz w:val="24"/>
        </w:rPr>
        <w:t> 302: 113963.</w:t>
      </w:r>
    </w:p>
    <w:p w14:paraId="07DFF0AE" w14:textId="38BC3214" w:rsidR="00240839" w:rsidRDefault="00240839" w:rsidP="00240839">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Endsley, </w:t>
      </w:r>
      <w:r w:rsidRPr="007852CC">
        <w:rPr>
          <w:rFonts w:ascii="Times New Roman" w:hAnsi="Times New Roman" w:cs="Times New Roman"/>
          <w:bCs/>
          <w:sz w:val="24"/>
        </w:rPr>
        <w:t>M. Zhao, J.S. Kimball, S. </w:t>
      </w:r>
      <w:proofErr w:type="spellStart"/>
      <w:r w:rsidRPr="007852CC">
        <w:rPr>
          <w:rFonts w:ascii="Times New Roman" w:hAnsi="Times New Roman" w:cs="Times New Roman"/>
          <w:bCs/>
          <w:sz w:val="24"/>
        </w:rPr>
        <w:t>Devadiga</w:t>
      </w:r>
      <w:proofErr w:type="spellEnd"/>
      <w:r w:rsidRPr="007852CC">
        <w:rPr>
          <w:rFonts w:ascii="Times New Roman" w:hAnsi="Times New Roman" w:cs="Times New Roman"/>
          <w:bCs/>
          <w:sz w:val="24"/>
        </w:rPr>
        <w:t xml:space="preserve"> (2023) Continuity of global MODIS terrestrial primary productivity estimates in the VIIRS era using model-data fusion. </w:t>
      </w:r>
      <w:r w:rsidRPr="00977C54">
        <w:rPr>
          <w:rFonts w:ascii="Times New Roman" w:hAnsi="Times New Roman" w:cs="Times New Roman"/>
          <w:bCs/>
          <w:i/>
          <w:iCs/>
          <w:sz w:val="24"/>
        </w:rPr>
        <w:t xml:space="preserve">Journal of Geophysical Research: </w:t>
      </w:r>
      <w:proofErr w:type="spellStart"/>
      <w:r w:rsidRPr="00977C54">
        <w:rPr>
          <w:rFonts w:ascii="Times New Roman" w:hAnsi="Times New Roman" w:cs="Times New Roman"/>
          <w:bCs/>
          <w:i/>
          <w:iCs/>
          <w:sz w:val="24"/>
        </w:rPr>
        <w:t>Biogeosciences</w:t>
      </w:r>
      <w:proofErr w:type="spellEnd"/>
      <w:r w:rsidRPr="00977C54">
        <w:rPr>
          <w:rFonts w:ascii="Times New Roman" w:hAnsi="Times New Roman" w:cs="Times New Roman"/>
          <w:bCs/>
          <w:sz w:val="24"/>
        </w:rPr>
        <w:t> </w:t>
      </w:r>
      <w:r w:rsidRPr="007852CC">
        <w:rPr>
          <w:rFonts w:ascii="Times New Roman" w:hAnsi="Times New Roman" w:cs="Times New Roman"/>
          <w:bCs/>
          <w:sz w:val="24"/>
        </w:rPr>
        <w:t>128 (9), </w:t>
      </w:r>
      <w:hyperlink r:id="rId41" w:tgtFrame="_blank" w:history="1">
        <w:r w:rsidRPr="007852CC">
          <w:rPr>
            <w:rFonts w:ascii="Times New Roman" w:hAnsi="Times New Roman" w:cs="Times New Roman"/>
            <w:sz w:val="24"/>
          </w:rPr>
          <w:t>10.1029/2023JG007457</w:t>
        </w:r>
      </w:hyperlink>
    </w:p>
    <w:p w14:paraId="7AC38CD4" w14:textId="24B9D2FD"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He, M., Kimball, J. S., </w:t>
      </w:r>
      <w:proofErr w:type="spellStart"/>
      <w:r>
        <w:rPr>
          <w:rFonts w:ascii="Times New Roman" w:hAnsi="Times New Roman" w:cs="Times New Roman"/>
          <w:bCs/>
          <w:sz w:val="24"/>
        </w:rPr>
        <w:t>Maneta</w:t>
      </w:r>
      <w:proofErr w:type="spellEnd"/>
      <w:r>
        <w:rPr>
          <w:rFonts w:ascii="Times New Roman" w:hAnsi="Times New Roman" w:cs="Times New Roman"/>
          <w:bCs/>
          <w:sz w:val="24"/>
        </w:rPr>
        <w:t xml:space="preserve">, M. P., Maxwell, B. D., Moreno, A., </w:t>
      </w:r>
      <w:proofErr w:type="spellStart"/>
      <w:r>
        <w:rPr>
          <w:rFonts w:ascii="Times New Roman" w:hAnsi="Times New Roman" w:cs="Times New Roman"/>
          <w:bCs/>
          <w:sz w:val="24"/>
        </w:rPr>
        <w:t>Beguería</w:t>
      </w:r>
      <w:proofErr w:type="spellEnd"/>
      <w:r>
        <w:rPr>
          <w:rFonts w:ascii="Times New Roman" w:hAnsi="Times New Roman" w:cs="Times New Roman"/>
          <w:bCs/>
          <w:sz w:val="24"/>
        </w:rPr>
        <w:t xml:space="preserve">, S., &amp; Wu, X. (2018). Regional Crop Gross Primary Productivity and Yield Estimation Using Fused Landsat-MODIS Data. </w:t>
      </w:r>
      <w:r>
        <w:rPr>
          <w:rFonts w:ascii="Times New Roman" w:hAnsi="Times New Roman" w:cs="Times New Roman"/>
          <w:bCs/>
          <w:i/>
          <w:sz w:val="24"/>
        </w:rPr>
        <w:t>Remote Sensing</w:t>
      </w:r>
      <w:r>
        <w:rPr>
          <w:rFonts w:ascii="Times New Roman" w:hAnsi="Times New Roman" w:cs="Times New Roman"/>
          <w:bCs/>
          <w:sz w:val="24"/>
        </w:rPr>
        <w:t xml:space="preserve">, </w:t>
      </w:r>
      <w:r>
        <w:rPr>
          <w:rFonts w:ascii="Times New Roman" w:hAnsi="Times New Roman" w:cs="Times New Roman"/>
          <w:bCs/>
          <w:i/>
          <w:sz w:val="24"/>
        </w:rPr>
        <w:t>10</w:t>
      </w:r>
      <w:r>
        <w:rPr>
          <w:rFonts w:ascii="Times New Roman" w:hAnsi="Times New Roman" w:cs="Times New Roman"/>
          <w:bCs/>
          <w:sz w:val="24"/>
        </w:rPr>
        <w:t>(3), 372.</w:t>
      </w:r>
    </w:p>
    <w:p w14:paraId="6955AF95"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Robinson, N. P., Allred, B. W., Smith, W. K., Jones, M. O., Moreno, A., Erickson, T. A., ... &amp; Running, S. W. (2018). Terrestrial primary production for the conterminous United States derived from Landsat 30 m and MODIS 250 m. </w:t>
      </w:r>
      <w:r>
        <w:rPr>
          <w:rFonts w:ascii="Times New Roman" w:hAnsi="Times New Roman" w:cs="Times New Roman"/>
          <w:bCs/>
          <w:i/>
          <w:sz w:val="24"/>
        </w:rPr>
        <w:t>Remote Sensing in Ecology and Conservation</w:t>
      </w:r>
      <w:r>
        <w:rPr>
          <w:rFonts w:ascii="Times New Roman" w:hAnsi="Times New Roman" w:cs="Times New Roman"/>
          <w:bCs/>
          <w:sz w:val="24"/>
        </w:rPr>
        <w:t>.</w:t>
      </w:r>
    </w:p>
    <w:p w14:paraId="1603263B" w14:textId="19DD7621" w:rsidR="007B2AFA" w:rsidRDefault="007B2AFA">
      <w:pPr>
        <w:pStyle w:val="PlainText"/>
        <w:ind w:left="720" w:hanging="720"/>
        <w:jc w:val="both"/>
        <w:rPr>
          <w:rFonts w:ascii="Times New Roman" w:hAnsi="Times New Roman" w:cs="Times New Roman"/>
          <w:bCs/>
          <w:sz w:val="24"/>
        </w:rPr>
      </w:pPr>
      <w:proofErr w:type="spellStart"/>
      <w:r w:rsidRPr="007B2AFA">
        <w:rPr>
          <w:rFonts w:ascii="Times New Roman" w:hAnsi="Times New Roman" w:cs="Times New Roman"/>
          <w:bCs/>
          <w:sz w:val="24"/>
        </w:rPr>
        <w:t>Madani</w:t>
      </w:r>
      <w:proofErr w:type="spellEnd"/>
      <w:r w:rsidRPr="007B2AFA">
        <w:rPr>
          <w:rFonts w:ascii="Times New Roman" w:hAnsi="Times New Roman" w:cs="Times New Roman"/>
          <w:bCs/>
          <w:sz w:val="24"/>
        </w:rPr>
        <w:t xml:space="preserve">, N., J. S. Kimball, and S. W. Running. 2017. Improving global gross primary productivity estimates by computing optimum light use efficiencies using flux tower data. Journal of Geophysical Research: </w:t>
      </w:r>
      <w:proofErr w:type="spellStart"/>
      <w:r w:rsidRPr="007B2AFA">
        <w:rPr>
          <w:rFonts w:ascii="Times New Roman" w:hAnsi="Times New Roman" w:cs="Times New Roman"/>
          <w:bCs/>
          <w:i/>
          <w:iCs/>
          <w:sz w:val="24"/>
        </w:rPr>
        <w:t>Biogeosciences</w:t>
      </w:r>
      <w:proofErr w:type="spellEnd"/>
      <w:r w:rsidRPr="007B2AFA">
        <w:rPr>
          <w:rFonts w:ascii="Times New Roman" w:hAnsi="Times New Roman" w:cs="Times New Roman"/>
          <w:bCs/>
          <w:sz w:val="24"/>
        </w:rPr>
        <w:t xml:space="preserve"> 122 (11):2939–2951.</w:t>
      </w:r>
    </w:p>
    <w:p w14:paraId="6F222EE4"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Allred, B. W., Smith, W. K., </w:t>
      </w:r>
      <w:proofErr w:type="spellStart"/>
      <w:r>
        <w:rPr>
          <w:rFonts w:ascii="Times New Roman" w:hAnsi="Times New Roman" w:cs="Times New Roman"/>
          <w:bCs/>
          <w:sz w:val="24"/>
        </w:rPr>
        <w:t>Twidwell</w:t>
      </w:r>
      <w:proofErr w:type="spellEnd"/>
      <w:r>
        <w:rPr>
          <w:rFonts w:ascii="Times New Roman" w:hAnsi="Times New Roman" w:cs="Times New Roman"/>
          <w:bCs/>
          <w:sz w:val="24"/>
        </w:rPr>
        <w:t xml:space="preserve">, D., Haggerty, J. H., Running, S. W., Naugle, D. E., and </w:t>
      </w:r>
      <w:proofErr w:type="spellStart"/>
      <w:r>
        <w:rPr>
          <w:rFonts w:ascii="Times New Roman" w:hAnsi="Times New Roman" w:cs="Times New Roman"/>
          <w:bCs/>
          <w:sz w:val="24"/>
        </w:rPr>
        <w:t>Fuhlendorf</w:t>
      </w:r>
      <w:proofErr w:type="spellEnd"/>
      <w:r>
        <w:rPr>
          <w:rFonts w:ascii="Times New Roman" w:hAnsi="Times New Roman" w:cs="Times New Roman"/>
          <w:bCs/>
          <w:sz w:val="24"/>
        </w:rPr>
        <w:t xml:space="preserve">, S. D. (2015). Ecosystem services lost to oil and gas in North America. </w:t>
      </w:r>
      <w:r>
        <w:rPr>
          <w:rFonts w:ascii="Times New Roman" w:hAnsi="Times New Roman" w:cs="Times New Roman"/>
          <w:bCs/>
          <w:i/>
          <w:sz w:val="24"/>
        </w:rPr>
        <w:t>Scienc</w:t>
      </w:r>
      <w:r>
        <w:rPr>
          <w:rFonts w:ascii="Times New Roman" w:hAnsi="Times New Roman" w:cs="Times New Roman"/>
          <w:bCs/>
          <w:sz w:val="24"/>
        </w:rPr>
        <w:t xml:space="preserve">e, </w:t>
      </w:r>
      <w:r>
        <w:rPr>
          <w:rFonts w:ascii="Times New Roman" w:hAnsi="Times New Roman" w:cs="Times New Roman"/>
          <w:bCs/>
          <w:i/>
          <w:sz w:val="24"/>
        </w:rPr>
        <w:t>348</w:t>
      </w:r>
      <w:r>
        <w:rPr>
          <w:rFonts w:ascii="Times New Roman" w:hAnsi="Times New Roman" w:cs="Times New Roman"/>
          <w:bCs/>
          <w:sz w:val="24"/>
        </w:rPr>
        <w:t xml:space="preserve">(6233). </w:t>
      </w:r>
    </w:p>
    <w:p w14:paraId="56169644"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McDowell, N., Coops N. C., Beck P., Chambers J. Q., </w:t>
      </w:r>
      <w:proofErr w:type="spellStart"/>
      <w:r>
        <w:rPr>
          <w:rFonts w:ascii="Times New Roman" w:hAnsi="Times New Roman" w:cs="Times New Roman"/>
          <w:bCs/>
          <w:sz w:val="24"/>
        </w:rPr>
        <w:t>Gangodagamage</w:t>
      </w:r>
      <w:proofErr w:type="spellEnd"/>
      <w:r>
        <w:rPr>
          <w:rFonts w:ascii="Times New Roman" w:hAnsi="Times New Roman" w:cs="Times New Roman"/>
          <w:bCs/>
          <w:sz w:val="24"/>
        </w:rPr>
        <w:t xml:space="preserve"> C., </w:t>
      </w:r>
      <w:proofErr w:type="spellStart"/>
      <w:r>
        <w:rPr>
          <w:rFonts w:ascii="Times New Roman" w:hAnsi="Times New Roman" w:cs="Times New Roman"/>
          <w:bCs/>
          <w:sz w:val="24"/>
        </w:rPr>
        <w:t>Hicke</w:t>
      </w:r>
      <w:proofErr w:type="spellEnd"/>
      <w:r>
        <w:rPr>
          <w:rFonts w:ascii="Times New Roman" w:hAnsi="Times New Roman" w:cs="Times New Roman"/>
          <w:bCs/>
          <w:sz w:val="24"/>
        </w:rPr>
        <w:t xml:space="preserve"> J. A., Huang C., Kennedy R. E., </w:t>
      </w:r>
      <w:proofErr w:type="spellStart"/>
      <w:r>
        <w:rPr>
          <w:rFonts w:ascii="Times New Roman" w:hAnsi="Times New Roman" w:cs="Times New Roman"/>
          <w:bCs/>
          <w:sz w:val="24"/>
        </w:rPr>
        <w:t>Krofcheck</w:t>
      </w:r>
      <w:proofErr w:type="spellEnd"/>
      <w:r>
        <w:rPr>
          <w:rFonts w:ascii="Times New Roman" w:hAnsi="Times New Roman" w:cs="Times New Roman"/>
          <w:bCs/>
          <w:sz w:val="24"/>
        </w:rPr>
        <w:t xml:space="preserve"> D. J., Litvak M., </w:t>
      </w:r>
      <w:proofErr w:type="spellStart"/>
      <w:r>
        <w:rPr>
          <w:rFonts w:ascii="Times New Roman" w:hAnsi="Times New Roman" w:cs="Times New Roman"/>
          <w:bCs/>
          <w:sz w:val="24"/>
        </w:rPr>
        <w:t>Meddens</w:t>
      </w:r>
      <w:proofErr w:type="spellEnd"/>
      <w:r>
        <w:rPr>
          <w:rFonts w:ascii="Times New Roman" w:hAnsi="Times New Roman" w:cs="Times New Roman"/>
          <w:bCs/>
          <w:sz w:val="24"/>
        </w:rPr>
        <w:t xml:space="preserve"> A. J. H., Muss J., Litvak M., Negron-Juarez R., Peng C., </w:t>
      </w:r>
      <w:proofErr w:type="spellStart"/>
      <w:r>
        <w:rPr>
          <w:rFonts w:ascii="Times New Roman" w:hAnsi="Times New Roman" w:cs="Times New Roman"/>
          <w:bCs/>
          <w:sz w:val="24"/>
        </w:rPr>
        <w:t>Schwantes</w:t>
      </w:r>
      <w:proofErr w:type="spellEnd"/>
      <w:r>
        <w:rPr>
          <w:rFonts w:ascii="Times New Roman" w:hAnsi="Times New Roman" w:cs="Times New Roman"/>
          <w:bCs/>
          <w:sz w:val="24"/>
        </w:rPr>
        <w:t xml:space="preserve"> A. M., Swenson J. J., Vernon L. J., Williams A. P., Xu C., Zhao M., Running S. W., and Allen C. D. (2015). Global satellite monitoring of climate-induced vegetation disturbances</w:t>
      </w:r>
      <w:r>
        <w:rPr>
          <w:rFonts w:ascii="Times New Roman" w:hAnsi="Times New Roman" w:cs="Times New Roman"/>
          <w:bCs/>
          <w:sz w:val="24"/>
          <w:szCs w:val="24"/>
        </w:rPr>
        <w:t xml:space="preserve">. </w:t>
      </w:r>
      <w:r>
        <w:rPr>
          <w:rFonts w:ascii="Times New Roman" w:hAnsi="Times New Roman" w:cs="Times New Roman"/>
          <w:i/>
          <w:sz w:val="24"/>
          <w:szCs w:val="24"/>
        </w:rPr>
        <w:t>Trends in Plant Science</w:t>
      </w:r>
      <w:r>
        <w:rPr>
          <w:rFonts w:ascii="Times New Roman" w:hAnsi="Times New Roman" w:cs="Times New Roman"/>
          <w:bCs/>
          <w:sz w:val="24"/>
          <w:szCs w:val="24"/>
        </w:rPr>
        <w:t xml:space="preserve">, </w:t>
      </w:r>
      <w:r>
        <w:rPr>
          <w:rFonts w:ascii="Times New Roman" w:hAnsi="Times New Roman" w:cs="Times New Roman"/>
          <w:i/>
          <w:sz w:val="24"/>
          <w:szCs w:val="24"/>
        </w:rPr>
        <w:t>20</w:t>
      </w:r>
      <w:r>
        <w:rPr>
          <w:rFonts w:ascii="Times New Roman" w:hAnsi="Times New Roman" w:cs="Times New Roman"/>
          <w:bCs/>
          <w:sz w:val="24"/>
        </w:rPr>
        <w:t>(2), 114-123.</w:t>
      </w:r>
    </w:p>
    <w:p w14:paraId="2B4D1C86"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Mora, C., Caldwell, I. R., Caldwell, J. M., Fisher, M. R., Genco, B. M., and Running S. W. (2015). Suitable Days for Plant Growth Disappear under Projected Climate Change: Potential Human and Biotic Vulnerability. </w:t>
      </w:r>
      <w:proofErr w:type="spellStart"/>
      <w:r>
        <w:rPr>
          <w:rFonts w:ascii="Times New Roman" w:hAnsi="Times New Roman" w:cs="Times New Roman"/>
          <w:bCs/>
          <w:i/>
          <w:sz w:val="24"/>
        </w:rPr>
        <w:t>PLoS</w:t>
      </w:r>
      <w:proofErr w:type="spellEnd"/>
      <w:r>
        <w:rPr>
          <w:rFonts w:ascii="Times New Roman" w:hAnsi="Times New Roman" w:cs="Times New Roman"/>
          <w:bCs/>
          <w:i/>
          <w:sz w:val="24"/>
        </w:rPr>
        <w:t xml:space="preserve"> Biol</w:t>
      </w:r>
      <w:r>
        <w:rPr>
          <w:rFonts w:ascii="Times New Roman" w:hAnsi="Times New Roman" w:cs="Times New Roman"/>
          <w:bCs/>
          <w:sz w:val="24"/>
        </w:rPr>
        <w:t xml:space="preserve">, 06/2015, </w:t>
      </w:r>
      <w:r>
        <w:rPr>
          <w:rFonts w:ascii="Times New Roman" w:hAnsi="Times New Roman" w:cs="Times New Roman"/>
          <w:bCs/>
          <w:i/>
          <w:sz w:val="24"/>
        </w:rPr>
        <w:t>13</w:t>
      </w:r>
      <w:r>
        <w:rPr>
          <w:rFonts w:ascii="Times New Roman" w:hAnsi="Times New Roman" w:cs="Times New Roman"/>
          <w:bCs/>
          <w:sz w:val="24"/>
        </w:rPr>
        <w:t>(6), e1002167</w:t>
      </w:r>
    </w:p>
    <w:p w14:paraId="34518406"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Madani</w:t>
      </w:r>
      <w:proofErr w:type="spellEnd"/>
      <w:r>
        <w:rPr>
          <w:rFonts w:ascii="Times New Roman" w:hAnsi="Times New Roman" w:cs="Times New Roman"/>
          <w:bCs/>
          <w:sz w:val="24"/>
        </w:rPr>
        <w:t xml:space="preserve">, N., Kimball, J. S., Affleck, D. L., </w:t>
      </w:r>
      <w:proofErr w:type="spellStart"/>
      <w:r>
        <w:rPr>
          <w:rFonts w:ascii="Times New Roman" w:hAnsi="Times New Roman" w:cs="Times New Roman"/>
          <w:bCs/>
          <w:sz w:val="24"/>
        </w:rPr>
        <w:t>Kattge</w:t>
      </w:r>
      <w:proofErr w:type="spellEnd"/>
      <w:r>
        <w:rPr>
          <w:rFonts w:ascii="Times New Roman" w:hAnsi="Times New Roman" w:cs="Times New Roman"/>
          <w:bCs/>
          <w:sz w:val="24"/>
        </w:rPr>
        <w:t xml:space="preserve">, J., Graham, J., </w:t>
      </w:r>
      <w:proofErr w:type="spellStart"/>
      <w:r>
        <w:rPr>
          <w:rFonts w:ascii="Times New Roman" w:hAnsi="Times New Roman" w:cs="Times New Roman"/>
          <w:bCs/>
          <w:sz w:val="24"/>
        </w:rPr>
        <w:t>Bodegom</w:t>
      </w:r>
      <w:proofErr w:type="spellEnd"/>
      <w:r>
        <w:rPr>
          <w:rFonts w:ascii="Times New Roman" w:hAnsi="Times New Roman" w:cs="Times New Roman"/>
          <w:bCs/>
          <w:sz w:val="24"/>
        </w:rPr>
        <w:t>, P. M., Reich, P. B.</w:t>
      </w:r>
      <w:proofErr w:type="gramStart"/>
      <w:r>
        <w:rPr>
          <w:rFonts w:ascii="Times New Roman" w:hAnsi="Times New Roman" w:cs="Times New Roman"/>
          <w:bCs/>
          <w:sz w:val="24"/>
        </w:rPr>
        <w:t>,  and</w:t>
      </w:r>
      <w:proofErr w:type="gramEnd"/>
      <w:r>
        <w:rPr>
          <w:rFonts w:ascii="Times New Roman" w:hAnsi="Times New Roman" w:cs="Times New Roman"/>
          <w:bCs/>
          <w:sz w:val="24"/>
        </w:rPr>
        <w:t xml:space="preserve"> Running, S. W. (2014). Improving ecosystem productivity modeling through spatially explicit estimation of optimal light use efficiency. </w:t>
      </w:r>
      <w:r>
        <w:rPr>
          <w:rFonts w:ascii="Times New Roman" w:hAnsi="Times New Roman" w:cs="Times New Roman"/>
          <w:bCs/>
          <w:i/>
          <w:sz w:val="24"/>
        </w:rPr>
        <w:t xml:space="preserve">Journal of Geophysical Research: </w:t>
      </w:r>
      <w:proofErr w:type="spellStart"/>
      <w:r>
        <w:rPr>
          <w:rFonts w:ascii="Times New Roman" w:hAnsi="Times New Roman" w:cs="Times New Roman"/>
          <w:bCs/>
          <w:i/>
          <w:sz w:val="24"/>
        </w:rPr>
        <w:t>Biogeosciences</w:t>
      </w:r>
      <w:proofErr w:type="spellEnd"/>
      <w:r>
        <w:rPr>
          <w:rFonts w:ascii="Times New Roman" w:hAnsi="Times New Roman" w:cs="Times New Roman"/>
          <w:bCs/>
          <w:sz w:val="24"/>
        </w:rPr>
        <w:t xml:space="preserve">, </w:t>
      </w:r>
      <w:r>
        <w:rPr>
          <w:rFonts w:ascii="Times New Roman" w:hAnsi="Times New Roman" w:cs="Times New Roman"/>
          <w:bCs/>
          <w:i/>
          <w:sz w:val="24"/>
        </w:rPr>
        <w:t>119</w:t>
      </w:r>
      <w:r>
        <w:rPr>
          <w:rFonts w:ascii="Times New Roman" w:hAnsi="Times New Roman" w:cs="Times New Roman"/>
          <w:bCs/>
          <w:sz w:val="24"/>
        </w:rPr>
        <w:t>(9), 1755-1769.</w:t>
      </w:r>
    </w:p>
    <w:p w14:paraId="6455BE41" w14:textId="77777777" w:rsidR="0078185C" w:rsidRDefault="00000000">
      <w:pPr>
        <w:pStyle w:val="PlainText"/>
        <w:ind w:left="720" w:hanging="720"/>
        <w:jc w:val="both"/>
        <w:rPr>
          <w:rFonts w:ascii="Times New Roman" w:hAnsi="Times New Roman" w:cs="Times New Roman"/>
          <w:bCs/>
          <w:sz w:val="24"/>
          <w:szCs w:val="24"/>
        </w:rPr>
      </w:pPr>
      <w:r>
        <w:rPr>
          <w:rFonts w:ascii="Times New Roman" w:hAnsi="Times New Roman" w:cs="Times New Roman"/>
          <w:bCs/>
          <w:sz w:val="24"/>
          <w:szCs w:val="24"/>
        </w:rPr>
        <w:t xml:space="preserve">Pan, S., Tian, H., Dangal, S. R. S., Ouyang, Z., Tao, B., Ren, W., Lu, C., and Running, S. W. (2014). Modeling and Monitoring Terrestrial Primary Production in a Changing Global Environment: Toward a Multiscale Synthesis of Observation and Simulation. </w:t>
      </w:r>
      <w:r>
        <w:rPr>
          <w:rFonts w:ascii="Times New Roman" w:hAnsi="Times New Roman" w:cs="Times New Roman"/>
          <w:bCs/>
          <w:i/>
          <w:sz w:val="24"/>
          <w:szCs w:val="24"/>
        </w:rPr>
        <w:t>Advances in Meteorology</w:t>
      </w:r>
      <w:r>
        <w:rPr>
          <w:rFonts w:ascii="Times New Roman" w:hAnsi="Times New Roman" w:cs="Times New Roman"/>
          <w:bCs/>
          <w:sz w:val="24"/>
          <w:szCs w:val="24"/>
        </w:rPr>
        <w:t xml:space="preserve">, </w:t>
      </w:r>
      <w:r>
        <w:rPr>
          <w:rFonts w:ascii="Times New Roman" w:hAnsi="Times New Roman" w:cs="Times New Roman"/>
          <w:bCs/>
          <w:i/>
          <w:sz w:val="24"/>
          <w:szCs w:val="24"/>
        </w:rPr>
        <w:t>2014</w:t>
      </w:r>
      <w:r>
        <w:rPr>
          <w:rFonts w:ascii="Times New Roman" w:hAnsi="Times New Roman" w:cs="Times New Roman"/>
          <w:bCs/>
          <w:sz w:val="24"/>
          <w:szCs w:val="24"/>
        </w:rPr>
        <w:t>, 1-17</w:t>
      </w:r>
    </w:p>
    <w:p w14:paraId="249A97B6" w14:textId="77777777" w:rsidR="0078185C" w:rsidRPr="00977C54" w:rsidRDefault="00000000" w:rsidP="00977C54">
      <w:pPr>
        <w:pStyle w:val="BodyTextIndent"/>
        <w:snapToGrid w:val="0"/>
        <w:spacing w:after="0"/>
        <w:ind w:left="720" w:hanging="720"/>
        <w:jc w:val="both"/>
        <w:rPr>
          <w:rFonts w:ascii="Times New Roman" w:hAnsi="Times New Roman" w:cs="Times New Roman"/>
        </w:rPr>
      </w:pPr>
      <w:r w:rsidRPr="00977C54">
        <w:rPr>
          <w:rFonts w:ascii="Times New Roman" w:hAnsi="Times New Roman" w:cs="Times New Roman"/>
        </w:rPr>
        <w:t xml:space="preserve">Poulter, B., Frank, D., </w:t>
      </w:r>
      <w:proofErr w:type="spellStart"/>
      <w:r w:rsidRPr="00977C54">
        <w:rPr>
          <w:rFonts w:ascii="Times New Roman" w:hAnsi="Times New Roman" w:cs="Times New Roman"/>
        </w:rPr>
        <w:t>Ciais</w:t>
      </w:r>
      <w:proofErr w:type="spellEnd"/>
      <w:r w:rsidRPr="00977C54">
        <w:rPr>
          <w:rFonts w:ascii="Times New Roman" w:hAnsi="Times New Roman" w:cs="Times New Roman"/>
        </w:rPr>
        <w:t xml:space="preserve">, P., Myneni, R. B., </w:t>
      </w:r>
      <w:proofErr w:type="spellStart"/>
      <w:r w:rsidRPr="00977C54">
        <w:rPr>
          <w:rFonts w:ascii="Times New Roman" w:hAnsi="Times New Roman" w:cs="Times New Roman"/>
        </w:rPr>
        <w:t>Andela</w:t>
      </w:r>
      <w:proofErr w:type="spellEnd"/>
      <w:r w:rsidRPr="00977C54">
        <w:rPr>
          <w:rFonts w:ascii="Times New Roman" w:hAnsi="Times New Roman" w:cs="Times New Roman"/>
        </w:rPr>
        <w:t xml:space="preserve">, N., Bi, J., </w:t>
      </w:r>
      <w:proofErr w:type="spellStart"/>
      <w:r w:rsidRPr="00977C54">
        <w:rPr>
          <w:rFonts w:ascii="Times New Roman" w:hAnsi="Times New Roman" w:cs="Times New Roman"/>
        </w:rPr>
        <w:t>Broquet</w:t>
      </w:r>
      <w:proofErr w:type="spellEnd"/>
      <w:r w:rsidRPr="00977C54">
        <w:rPr>
          <w:rFonts w:ascii="Times New Roman" w:hAnsi="Times New Roman" w:cs="Times New Roman"/>
        </w:rPr>
        <w:t xml:space="preserve">, G., </w:t>
      </w:r>
      <w:proofErr w:type="spellStart"/>
      <w:r w:rsidRPr="00977C54">
        <w:rPr>
          <w:rFonts w:ascii="Times New Roman" w:hAnsi="Times New Roman" w:cs="Times New Roman"/>
        </w:rPr>
        <w:t>Canadell</w:t>
      </w:r>
      <w:proofErr w:type="spellEnd"/>
      <w:r w:rsidRPr="00977C54">
        <w:rPr>
          <w:rFonts w:ascii="Times New Roman" w:hAnsi="Times New Roman" w:cs="Times New Roman"/>
        </w:rPr>
        <w:t xml:space="preserve">, J. G., </w:t>
      </w:r>
      <w:proofErr w:type="spellStart"/>
      <w:r w:rsidRPr="00977C54">
        <w:rPr>
          <w:rFonts w:ascii="Times New Roman" w:hAnsi="Times New Roman" w:cs="Times New Roman"/>
        </w:rPr>
        <w:t>Chevallier</w:t>
      </w:r>
      <w:proofErr w:type="spellEnd"/>
      <w:r w:rsidRPr="00977C54">
        <w:rPr>
          <w:rFonts w:ascii="Times New Roman" w:hAnsi="Times New Roman" w:cs="Times New Roman"/>
        </w:rPr>
        <w:t xml:space="preserve">, F., Liu, Y. Y., Running, S. W., </w:t>
      </w:r>
      <w:proofErr w:type="spellStart"/>
      <w:r w:rsidRPr="00977C54">
        <w:rPr>
          <w:rFonts w:ascii="Times New Roman" w:hAnsi="Times New Roman" w:cs="Times New Roman"/>
        </w:rPr>
        <w:t>Sitch</w:t>
      </w:r>
      <w:proofErr w:type="spellEnd"/>
      <w:r w:rsidRPr="00977C54">
        <w:rPr>
          <w:rFonts w:ascii="Times New Roman" w:hAnsi="Times New Roman" w:cs="Times New Roman"/>
        </w:rPr>
        <w:t xml:space="preserve">, S., and van der Werf, G. R. (2014). Contribution of semi-arid ecosystems to interannual variability of the global carbon cycle. </w:t>
      </w:r>
      <w:r w:rsidRPr="00977C54">
        <w:rPr>
          <w:rFonts w:ascii="Times New Roman" w:hAnsi="Times New Roman" w:cs="Times New Roman"/>
          <w:i/>
          <w:iCs/>
        </w:rPr>
        <w:t>Nature</w:t>
      </w:r>
      <w:r w:rsidRPr="00977C54">
        <w:rPr>
          <w:rFonts w:ascii="Times New Roman" w:hAnsi="Times New Roman" w:cs="Times New Roman"/>
        </w:rPr>
        <w:t>, 509(7502), 600-603.</w:t>
      </w:r>
    </w:p>
    <w:p w14:paraId="27E8A8B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Smith, W. K., Cleveland, C. C., Reed, S. C., and Running, S. W. (2014). Agricultural conversion without external water and nutrient inputs reduces terrestrial vegetation productivity. </w:t>
      </w:r>
      <w:r>
        <w:rPr>
          <w:rFonts w:ascii="Times New Roman" w:hAnsi="Times New Roman" w:cs="Times New Roman"/>
          <w:bCs/>
          <w:i/>
          <w:sz w:val="24"/>
        </w:rPr>
        <w:t>Geophysical Research Letters</w:t>
      </w:r>
      <w:r>
        <w:rPr>
          <w:rFonts w:ascii="Times New Roman" w:hAnsi="Times New Roman" w:cs="Times New Roman"/>
          <w:bCs/>
          <w:sz w:val="24"/>
        </w:rPr>
        <w:t xml:space="preserve">, </w:t>
      </w:r>
      <w:r>
        <w:rPr>
          <w:rFonts w:ascii="Times New Roman" w:hAnsi="Times New Roman" w:cs="Times New Roman"/>
          <w:bCs/>
          <w:i/>
          <w:sz w:val="24"/>
        </w:rPr>
        <w:t>41</w:t>
      </w:r>
      <w:r>
        <w:rPr>
          <w:rFonts w:ascii="Times New Roman" w:hAnsi="Times New Roman" w:cs="Times New Roman"/>
          <w:bCs/>
          <w:sz w:val="24"/>
        </w:rPr>
        <w:t>(2), 449-455.</w:t>
      </w:r>
    </w:p>
    <w:p w14:paraId="5D7B0687"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lastRenderedPageBreak/>
        <w:t xml:space="preserve">Bastos, A., Running, S. W., Gouveia, C., and Trigo, R. M. (2013). The global NPP dependence on ENSO: La Niña and the extraordinary year of 2011. </w:t>
      </w:r>
      <w:r>
        <w:rPr>
          <w:rFonts w:ascii="Times New Roman" w:hAnsi="Times New Roman" w:cs="Times New Roman"/>
          <w:bCs/>
          <w:i/>
          <w:sz w:val="24"/>
        </w:rPr>
        <w:t xml:space="preserve">Journal of Geophysical Research: </w:t>
      </w:r>
      <w:proofErr w:type="spellStart"/>
      <w:r>
        <w:rPr>
          <w:rFonts w:ascii="Times New Roman" w:hAnsi="Times New Roman" w:cs="Times New Roman"/>
          <w:bCs/>
          <w:i/>
          <w:sz w:val="24"/>
        </w:rPr>
        <w:t>Biogeosciences</w:t>
      </w:r>
      <w:proofErr w:type="spellEnd"/>
      <w:r>
        <w:rPr>
          <w:rFonts w:ascii="Times New Roman" w:hAnsi="Times New Roman" w:cs="Times New Roman"/>
          <w:bCs/>
          <w:sz w:val="24"/>
        </w:rPr>
        <w:t xml:space="preserve">, </w:t>
      </w:r>
      <w:r>
        <w:rPr>
          <w:rFonts w:ascii="Times New Roman" w:hAnsi="Times New Roman" w:cs="Times New Roman"/>
          <w:bCs/>
          <w:i/>
          <w:sz w:val="24"/>
        </w:rPr>
        <w:t>118</w:t>
      </w:r>
      <w:r>
        <w:rPr>
          <w:rFonts w:ascii="Times New Roman" w:hAnsi="Times New Roman" w:cs="Times New Roman"/>
          <w:bCs/>
          <w:sz w:val="24"/>
        </w:rPr>
        <w:t>(3), 1247-1255.</w:t>
      </w:r>
    </w:p>
    <w:p w14:paraId="5FCC8F26"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Cleveland, C. C., Houlton, B. Z., Smith, W. K., </w:t>
      </w:r>
      <w:proofErr w:type="spellStart"/>
      <w:r>
        <w:rPr>
          <w:rFonts w:ascii="Times New Roman" w:hAnsi="Times New Roman" w:cs="Times New Roman"/>
          <w:bCs/>
          <w:sz w:val="24"/>
        </w:rPr>
        <w:t>Marklein</w:t>
      </w:r>
      <w:proofErr w:type="spellEnd"/>
      <w:r>
        <w:rPr>
          <w:rFonts w:ascii="Times New Roman" w:hAnsi="Times New Roman" w:cs="Times New Roman"/>
          <w:bCs/>
          <w:sz w:val="24"/>
        </w:rPr>
        <w:t xml:space="preserve">, A. R., Reed, S. C., Parton, W., Del Grosso, S. J., and Running, S. W. (2013). Patterns of new versus recycled primary production in the terrestrial biosphere. </w:t>
      </w:r>
      <w:r>
        <w:rPr>
          <w:rFonts w:ascii="Times New Roman" w:hAnsi="Times New Roman" w:cs="Times New Roman"/>
          <w:bCs/>
          <w:i/>
          <w:sz w:val="24"/>
        </w:rPr>
        <w:t>Proceedings of the National Academy of Sciences</w:t>
      </w:r>
      <w:r>
        <w:rPr>
          <w:rFonts w:ascii="Times New Roman" w:hAnsi="Times New Roman" w:cs="Times New Roman"/>
          <w:bCs/>
          <w:sz w:val="24"/>
        </w:rPr>
        <w:t xml:space="preserve">, </w:t>
      </w:r>
      <w:r>
        <w:rPr>
          <w:rFonts w:ascii="Times New Roman" w:hAnsi="Times New Roman" w:cs="Times New Roman"/>
          <w:bCs/>
          <w:i/>
          <w:sz w:val="24"/>
        </w:rPr>
        <w:t>110</w:t>
      </w:r>
      <w:r>
        <w:rPr>
          <w:rFonts w:ascii="Times New Roman" w:hAnsi="Times New Roman" w:cs="Times New Roman"/>
          <w:bCs/>
          <w:sz w:val="24"/>
        </w:rPr>
        <w:t>(31), 12733-12737.</w:t>
      </w:r>
    </w:p>
    <w:p w14:paraId="6F6AE3A9" w14:textId="77777777" w:rsidR="00B83A58"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(2012). A measurable planetary boundary for the biosphere. </w:t>
      </w:r>
      <w:r>
        <w:rPr>
          <w:rFonts w:ascii="Times New Roman" w:hAnsi="Times New Roman" w:cs="Times New Roman"/>
          <w:bCs/>
          <w:i/>
          <w:sz w:val="24"/>
        </w:rPr>
        <w:t>Science</w:t>
      </w:r>
      <w:r>
        <w:rPr>
          <w:rFonts w:ascii="Times New Roman" w:hAnsi="Times New Roman" w:cs="Times New Roman"/>
          <w:bCs/>
          <w:sz w:val="24"/>
        </w:rPr>
        <w:t xml:space="preserve">, </w:t>
      </w:r>
      <w:r>
        <w:rPr>
          <w:rFonts w:ascii="Times New Roman" w:hAnsi="Times New Roman" w:cs="Times New Roman"/>
          <w:bCs/>
          <w:i/>
          <w:sz w:val="24"/>
        </w:rPr>
        <w:t>337</w:t>
      </w:r>
      <w:r>
        <w:rPr>
          <w:rFonts w:ascii="Times New Roman" w:hAnsi="Times New Roman" w:cs="Times New Roman"/>
          <w:bCs/>
          <w:sz w:val="24"/>
        </w:rPr>
        <w:t>(6101), 1458-1459.</w:t>
      </w:r>
    </w:p>
    <w:p w14:paraId="6DF33C8F" w14:textId="0B8B05D1"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Hasenauer</w:t>
      </w:r>
      <w:proofErr w:type="spellEnd"/>
      <w:r>
        <w:rPr>
          <w:rFonts w:ascii="Times New Roman" w:hAnsi="Times New Roman" w:cs="Times New Roman"/>
          <w:bCs/>
          <w:sz w:val="24"/>
        </w:rPr>
        <w:t xml:space="preserve">, H., Petritsch, R., Zhao, M., </w:t>
      </w:r>
      <w:proofErr w:type="spellStart"/>
      <w:r>
        <w:rPr>
          <w:rFonts w:ascii="Times New Roman" w:hAnsi="Times New Roman" w:cs="Times New Roman"/>
          <w:bCs/>
          <w:sz w:val="24"/>
        </w:rPr>
        <w:t>Boisvenue</w:t>
      </w:r>
      <w:proofErr w:type="spellEnd"/>
      <w:r>
        <w:rPr>
          <w:rFonts w:ascii="Times New Roman" w:hAnsi="Times New Roman" w:cs="Times New Roman"/>
          <w:bCs/>
          <w:sz w:val="24"/>
        </w:rPr>
        <w:t xml:space="preserve">, C., and Running, S. W. (2012). Reconciling satellite with ground data to estimate forest productivity at national scales. </w:t>
      </w:r>
      <w:r>
        <w:rPr>
          <w:rFonts w:ascii="Times New Roman" w:hAnsi="Times New Roman" w:cs="Times New Roman"/>
          <w:bCs/>
          <w:i/>
          <w:sz w:val="24"/>
        </w:rPr>
        <w:t>Forest Ecology and Management</w:t>
      </w:r>
      <w:r>
        <w:rPr>
          <w:rFonts w:ascii="Times New Roman" w:hAnsi="Times New Roman" w:cs="Times New Roman"/>
          <w:bCs/>
          <w:sz w:val="24"/>
        </w:rPr>
        <w:t xml:space="preserve">, </w:t>
      </w:r>
      <w:r>
        <w:rPr>
          <w:rFonts w:ascii="Times New Roman" w:hAnsi="Times New Roman" w:cs="Times New Roman"/>
          <w:bCs/>
          <w:i/>
          <w:sz w:val="24"/>
        </w:rPr>
        <w:t>276</w:t>
      </w:r>
      <w:r>
        <w:rPr>
          <w:rFonts w:ascii="Times New Roman" w:hAnsi="Times New Roman" w:cs="Times New Roman"/>
          <w:bCs/>
          <w:sz w:val="24"/>
        </w:rPr>
        <w:t>,196-208.</w:t>
      </w:r>
    </w:p>
    <w:p w14:paraId="16A98F5A"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Smith, W. K., Cleveland, C. C., Reed, S. C., Miller, N. L., and Running S. W. (2012). Bioenergy Potential of the United States Constrained by Satellite Observations of Existing Productivity. </w:t>
      </w:r>
      <w:r>
        <w:rPr>
          <w:rFonts w:ascii="Times New Roman" w:hAnsi="Times New Roman" w:cs="Times New Roman"/>
          <w:bCs/>
          <w:i/>
          <w:sz w:val="24"/>
        </w:rPr>
        <w:t>Environmental Science and Technology</w:t>
      </w:r>
      <w:r>
        <w:rPr>
          <w:rFonts w:ascii="Times New Roman" w:hAnsi="Times New Roman" w:cs="Times New Roman"/>
          <w:bCs/>
          <w:sz w:val="24"/>
        </w:rPr>
        <w:t xml:space="preserve">, </w:t>
      </w:r>
      <w:r>
        <w:rPr>
          <w:rFonts w:ascii="Times New Roman" w:hAnsi="Times New Roman" w:cs="Times New Roman"/>
          <w:bCs/>
          <w:i/>
          <w:sz w:val="24"/>
        </w:rPr>
        <w:t>46</w:t>
      </w:r>
      <w:r>
        <w:rPr>
          <w:rFonts w:ascii="Times New Roman" w:hAnsi="Times New Roman" w:cs="Times New Roman"/>
          <w:bCs/>
          <w:sz w:val="24"/>
        </w:rPr>
        <w:t>(6), 3536-3544.</w:t>
      </w:r>
    </w:p>
    <w:p w14:paraId="5D72262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Smith, W. K., Zhao, M., and Running, S. W. (2012). Global Bioenergy Capacity as Constrained by Observed Biospheric Productivity Rates. </w:t>
      </w:r>
      <w:proofErr w:type="spellStart"/>
      <w:r>
        <w:rPr>
          <w:rFonts w:ascii="Times New Roman" w:hAnsi="Times New Roman" w:cs="Times New Roman"/>
          <w:bCs/>
          <w:i/>
          <w:sz w:val="24"/>
        </w:rPr>
        <w:t>BioScience</w:t>
      </w:r>
      <w:proofErr w:type="spellEnd"/>
      <w:r>
        <w:rPr>
          <w:rFonts w:ascii="Times New Roman" w:hAnsi="Times New Roman" w:cs="Times New Roman"/>
          <w:bCs/>
          <w:sz w:val="24"/>
        </w:rPr>
        <w:t xml:space="preserve">, </w:t>
      </w:r>
      <w:r>
        <w:rPr>
          <w:rFonts w:ascii="Times New Roman" w:hAnsi="Times New Roman" w:cs="Times New Roman"/>
          <w:bCs/>
          <w:i/>
          <w:sz w:val="24"/>
        </w:rPr>
        <w:t>62</w:t>
      </w:r>
      <w:r>
        <w:rPr>
          <w:rFonts w:ascii="Times New Roman" w:hAnsi="Times New Roman" w:cs="Times New Roman"/>
          <w:bCs/>
          <w:sz w:val="24"/>
        </w:rPr>
        <w:t>(10), 911-922.</w:t>
      </w:r>
    </w:p>
    <w:p w14:paraId="51F8309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sz w:val="24"/>
          <w:szCs w:val="24"/>
        </w:rPr>
        <w:t xml:space="preserve">Tallis, H., Mooney, H., </w:t>
      </w:r>
      <w:proofErr w:type="spellStart"/>
      <w:r>
        <w:rPr>
          <w:rFonts w:ascii="Times New Roman" w:hAnsi="Times New Roman" w:cs="Times New Roman"/>
          <w:sz w:val="24"/>
          <w:szCs w:val="24"/>
        </w:rPr>
        <w:t>Andelman</w:t>
      </w:r>
      <w:proofErr w:type="spellEnd"/>
      <w:r>
        <w:rPr>
          <w:rFonts w:ascii="Times New Roman" w:hAnsi="Times New Roman" w:cs="Times New Roman"/>
          <w:sz w:val="24"/>
          <w:szCs w:val="24"/>
        </w:rPr>
        <w:t xml:space="preserve">, S., </w:t>
      </w:r>
      <w:proofErr w:type="spellStart"/>
      <w:r>
        <w:rPr>
          <w:rFonts w:ascii="Times New Roman" w:hAnsi="Times New Roman" w:cs="Times New Roman"/>
          <w:sz w:val="24"/>
          <w:szCs w:val="24"/>
        </w:rPr>
        <w:t>Balvanera</w:t>
      </w:r>
      <w:proofErr w:type="spellEnd"/>
      <w:r>
        <w:rPr>
          <w:rFonts w:ascii="Times New Roman" w:hAnsi="Times New Roman" w:cs="Times New Roman"/>
          <w:sz w:val="24"/>
          <w:szCs w:val="24"/>
        </w:rPr>
        <w:t xml:space="preserve">, P., Cramer, W., Karp, D., </w:t>
      </w:r>
      <w:proofErr w:type="spellStart"/>
      <w:r>
        <w:rPr>
          <w:rFonts w:ascii="Times New Roman" w:hAnsi="Times New Roman" w:cs="Times New Roman"/>
          <w:sz w:val="24"/>
          <w:szCs w:val="24"/>
        </w:rPr>
        <w:t>Polasky</w:t>
      </w:r>
      <w:proofErr w:type="spellEnd"/>
      <w:r>
        <w:rPr>
          <w:rFonts w:ascii="Times New Roman" w:hAnsi="Times New Roman" w:cs="Times New Roman"/>
          <w:sz w:val="24"/>
          <w:szCs w:val="24"/>
        </w:rPr>
        <w:t xml:space="preserve">, S., </w:t>
      </w:r>
      <w:proofErr w:type="spellStart"/>
      <w:r>
        <w:rPr>
          <w:rFonts w:ascii="Times New Roman" w:hAnsi="Times New Roman" w:cs="Times New Roman"/>
          <w:sz w:val="24"/>
          <w:szCs w:val="24"/>
        </w:rPr>
        <w:t>Reyers</w:t>
      </w:r>
      <w:proofErr w:type="spellEnd"/>
      <w:r>
        <w:rPr>
          <w:rFonts w:ascii="Times New Roman" w:hAnsi="Times New Roman" w:cs="Times New Roman"/>
          <w:sz w:val="24"/>
          <w:szCs w:val="24"/>
        </w:rPr>
        <w:t xml:space="preserve">, B., </w:t>
      </w:r>
      <w:proofErr w:type="spellStart"/>
      <w:proofErr w:type="gramStart"/>
      <w:r>
        <w:rPr>
          <w:rFonts w:ascii="Times New Roman" w:hAnsi="Times New Roman" w:cs="Times New Roman"/>
          <w:sz w:val="24"/>
          <w:szCs w:val="24"/>
        </w:rPr>
        <w:t>Ricketts,T</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Running, S. W., </w:t>
      </w:r>
      <w:proofErr w:type="spellStart"/>
      <w:r>
        <w:rPr>
          <w:rFonts w:ascii="Times New Roman" w:hAnsi="Times New Roman" w:cs="Times New Roman"/>
          <w:sz w:val="24"/>
          <w:szCs w:val="24"/>
        </w:rPr>
        <w:t>Thonicke</w:t>
      </w:r>
      <w:proofErr w:type="spellEnd"/>
      <w:r>
        <w:rPr>
          <w:rFonts w:ascii="Times New Roman" w:hAnsi="Times New Roman" w:cs="Times New Roman"/>
          <w:sz w:val="24"/>
          <w:szCs w:val="24"/>
        </w:rPr>
        <w:t xml:space="preserve">, K., </w:t>
      </w:r>
      <w:proofErr w:type="spellStart"/>
      <w:r>
        <w:rPr>
          <w:rFonts w:ascii="Times New Roman" w:hAnsi="Times New Roman" w:cs="Times New Roman"/>
          <w:sz w:val="24"/>
          <w:szCs w:val="24"/>
        </w:rPr>
        <w:t>Tietjen</w:t>
      </w:r>
      <w:proofErr w:type="spellEnd"/>
      <w:r>
        <w:rPr>
          <w:rFonts w:ascii="Times New Roman" w:hAnsi="Times New Roman" w:cs="Times New Roman"/>
          <w:sz w:val="24"/>
          <w:szCs w:val="24"/>
        </w:rPr>
        <w:t xml:space="preserve">, B. and Walz, A. (2012). A global system for monitoring ecosystem service change. </w:t>
      </w:r>
      <w:r>
        <w:rPr>
          <w:rFonts w:ascii="Times New Roman" w:hAnsi="Times New Roman" w:cs="Times New Roman"/>
          <w:i/>
          <w:sz w:val="24"/>
          <w:szCs w:val="24"/>
        </w:rPr>
        <w:t>Bioscience</w:t>
      </w:r>
      <w:r>
        <w:rPr>
          <w:rFonts w:ascii="Times New Roman" w:hAnsi="Times New Roman" w:cs="Times New Roman"/>
          <w:sz w:val="24"/>
          <w:szCs w:val="24"/>
        </w:rPr>
        <w:t xml:space="preserve">, </w:t>
      </w:r>
      <w:r>
        <w:rPr>
          <w:rFonts w:ascii="Times New Roman" w:hAnsi="Times New Roman" w:cs="Times New Roman"/>
          <w:i/>
          <w:sz w:val="24"/>
          <w:szCs w:val="24"/>
        </w:rPr>
        <w:t>62</w:t>
      </w:r>
      <w:r>
        <w:rPr>
          <w:rFonts w:ascii="Times New Roman" w:hAnsi="Times New Roman" w:cs="Times New Roman"/>
          <w:sz w:val="24"/>
          <w:szCs w:val="24"/>
        </w:rPr>
        <w:t>(11), 977-986.</w:t>
      </w:r>
    </w:p>
    <w:p w14:paraId="745BF39D"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Mu, Q., Zhao M., and Running S. W. (2011) Evolution of hydrological and carbon cycles under a changing climate</w:t>
      </w:r>
      <w:r>
        <w:t xml:space="preserve">. </w:t>
      </w:r>
      <w:r>
        <w:rPr>
          <w:rFonts w:ascii="Times New Roman" w:hAnsi="Times New Roman" w:cs="Times New Roman"/>
          <w:bCs/>
          <w:i/>
          <w:sz w:val="24"/>
        </w:rPr>
        <w:t>Hydrological Processes</w:t>
      </w:r>
      <w:r>
        <w:rPr>
          <w:rFonts w:ascii="Times New Roman" w:hAnsi="Times New Roman" w:cs="Times New Roman"/>
          <w:bCs/>
          <w:sz w:val="24"/>
        </w:rPr>
        <w:t xml:space="preserve">, </w:t>
      </w:r>
      <w:r>
        <w:rPr>
          <w:rFonts w:ascii="Times New Roman" w:hAnsi="Times New Roman" w:cs="Times New Roman"/>
          <w:bCs/>
          <w:i/>
          <w:sz w:val="24"/>
        </w:rPr>
        <w:t>25</w:t>
      </w:r>
      <w:r>
        <w:rPr>
          <w:rFonts w:ascii="Times New Roman" w:hAnsi="Times New Roman" w:cs="Times New Roman"/>
          <w:bCs/>
          <w:sz w:val="24"/>
        </w:rPr>
        <w:t>(26), 4093-4102.</w:t>
      </w:r>
    </w:p>
    <w:p w14:paraId="101A731E"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Zhao, M., Running, S., </w:t>
      </w:r>
      <w:proofErr w:type="spellStart"/>
      <w:r>
        <w:rPr>
          <w:rFonts w:ascii="Times New Roman" w:hAnsi="Times New Roman" w:cs="Times New Roman"/>
          <w:bCs/>
          <w:sz w:val="24"/>
        </w:rPr>
        <w:t>Heinsch</w:t>
      </w:r>
      <w:proofErr w:type="spellEnd"/>
      <w:r>
        <w:rPr>
          <w:rFonts w:ascii="Times New Roman" w:hAnsi="Times New Roman" w:cs="Times New Roman"/>
          <w:bCs/>
          <w:sz w:val="24"/>
        </w:rPr>
        <w:t xml:space="preserve">, F. A., and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(2011). MODIS-derived terrestrial primary production. In </w:t>
      </w:r>
      <w:r>
        <w:rPr>
          <w:rFonts w:ascii="Times New Roman" w:hAnsi="Times New Roman" w:cs="Times New Roman"/>
          <w:bCs/>
          <w:i/>
          <w:sz w:val="24"/>
        </w:rPr>
        <w:t>Land Remote Sensing and Global Environmental Change</w:t>
      </w:r>
      <w:r>
        <w:rPr>
          <w:rFonts w:ascii="Times New Roman" w:hAnsi="Times New Roman" w:cs="Times New Roman"/>
          <w:bCs/>
          <w:sz w:val="24"/>
        </w:rPr>
        <w:t xml:space="preserve"> (pp. 635-660). Springer New York.</w:t>
      </w:r>
    </w:p>
    <w:p w14:paraId="005BF80F"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Zhao, M., and Running, S. W. (2010). Drought-induced reduction in global terrestrial net primary production from 2000 through 2009. </w:t>
      </w:r>
      <w:r>
        <w:rPr>
          <w:rFonts w:ascii="Times New Roman" w:hAnsi="Times New Roman" w:cs="Times New Roman"/>
          <w:bCs/>
          <w:i/>
          <w:sz w:val="24"/>
        </w:rPr>
        <w:t>Science</w:t>
      </w:r>
      <w:r>
        <w:rPr>
          <w:rFonts w:ascii="Times New Roman" w:hAnsi="Times New Roman" w:cs="Times New Roman"/>
          <w:bCs/>
          <w:sz w:val="24"/>
        </w:rPr>
        <w:t>, 329(5994), 940-943.</w:t>
      </w:r>
    </w:p>
    <w:p w14:paraId="4C2D4CD7"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Le </w:t>
      </w:r>
      <w:proofErr w:type="spellStart"/>
      <w:r>
        <w:rPr>
          <w:rFonts w:ascii="Times New Roman" w:hAnsi="Times New Roman" w:cs="Times New Roman"/>
          <w:bCs/>
          <w:sz w:val="24"/>
        </w:rPr>
        <w:t>Quéré</w:t>
      </w:r>
      <w:proofErr w:type="spellEnd"/>
      <w:r>
        <w:rPr>
          <w:rFonts w:ascii="Times New Roman" w:hAnsi="Times New Roman" w:cs="Times New Roman"/>
          <w:bCs/>
          <w:sz w:val="24"/>
        </w:rPr>
        <w:t xml:space="preserve">, C., </w:t>
      </w:r>
      <w:proofErr w:type="spellStart"/>
      <w:r>
        <w:rPr>
          <w:rFonts w:ascii="Times New Roman" w:hAnsi="Times New Roman" w:cs="Times New Roman"/>
          <w:bCs/>
          <w:sz w:val="24"/>
        </w:rPr>
        <w:t>Raupach</w:t>
      </w:r>
      <w:proofErr w:type="spellEnd"/>
      <w:r>
        <w:rPr>
          <w:rFonts w:ascii="Times New Roman" w:hAnsi="Times New Roman" w:cs="Times New Roman"/>
          <w:bCs/>
          <w:sz w:val="24"/>
        </w:rPr>
        <w:t xml:space="preserve">, M. R., </w:t>
      </w:r>
      <w:proofErr w:type="spellStart"/>
      <w:r>
        <w:rPr>
          <w:rFonts w:ascii="Times New Roman" w:hAnsi="Times New Roman" w:cs="Times New Roman"/>
          <w:bCs/>
          <w:sz w:val="24"/>
        </w:rPr>
        <w:t>Canadell</w:t>
      </w:r>
      <w:proofErr w:type="spellEnd"/>
      <w:r>
        <w:rPr>
          <w:rFonts w:ascii="Times New Roman" w:hAnsi="Times New Roman" w:cs="Times New Roman"/>
          <w:bCs/>
          <w:sz w:val="24"/>
        </w:rPr>
        <w:t xml:space="preserve">, J. G., Marland, G., Bopp, L., </w:t>
      </w:r>
      <w:proofErr w:type="spellStart"/>
      <w:r>
        <w:rPr>
          <w:rFonts w:ascii="Times New Roman" w:hAnsi="Times New Roman" w:cs="Times New Roman"/>
          <w:bCs/>
          <w:sz w:val="24"/>
        </w:rPr>
        <w:t>Ciais</w:t>
      </w:r>
      <w:proofErr w:type="spellEnd"/>
      <w:r>
        <w:rPr>
          <w:rFonts w:ascii="Times New Roman" w:hAnsi="Times New Roman" w:cs="Times New Roman"/>
          <w:bCs/>
          <w:sz w:val="24"/>
        </w:rPr>
        <w:t xml:space="preserve">, P., Conway, T. J.,  </w:t>
      </w:r>
      <w:proofErr w:type="spellStart"/>
      <w:r>
        <w:rPr>
          <w:rFonts w:ascii="Times New Roman" w:hAnsi="Times New Roman" w:cs="Times New Roman"/>
          <w:bCs/>
          <w:sz w:val="24"/>
        </w:rPr>
        <w:t>Doney</w:t>
      </w:r>
      <w:proofErr w:type="spellEnd"/>
      <w:r>
        <w:rPr>
          <w:rFonts w:ascii="Times New Roman" w:hAnsi="Times New Roman" w:cs="Times New Roman"/>
          <w:bCs/>
          <w:sz w:val="24"/>
        </w:rPr>
        <w:t>, S.C., Feely, R.A., Foster, P.,</w:t>
      </w:r>
      <w:proofErr w:type="spellStart"/>
      <w:r>
        <w:rPr>
          <w:rFonts w:ascii="Times New Roman" w:hAnsi="Times New Roman" w:cs="Times New Roman"/>
          <w:bCs/>
          <w:sz w:val="24"/>
        </w:rPr>
        <w:t>Friedlingsten</w:t>
      </w:r>
      <w:proofErr w:type="spellEnd"/>
      <w:r>
        <w:rPr>
          <w:rFonts w:ascii="Times New Roman" w:hAnsi="Times New Roman" w:cs="Times New Roman"/>
          <w:bCs/>
          <w:sz w:val="24"/>
        </w:rPr>
        <w:t xml:space="preserve">, P., Gurney, K., Houghton, R.A., House, J. I., </w:t>
      </w:r>
      <w:proofErr w:type="spellStart"/>
      <w:r>
        <w:rPr>
          <w:rFonts w:ascii="Times New Roman" w:hAnsi="Times New Roman" w:cs="Times New Roman"/>
          <w:bCs/>
          <w:sz w:val="24"/>
        </w:rPr>
        <w:t>Huntingford</w:t>
      </w:r>
      <w:proofErr w:type="spellEnd"/>
      <w:r>
        <w:rPr>
          <w:rFonts w:ascii="Times New Roman" w:hAnsi="Times New Roman" w:cs="Times New Roman"/>
          <w:bCs/>
          <w:sz w:val="24"/>
        </w:rPr>
        <w:t xml:space="preserve">, C., Levy, P. E., Lomas, M. R., </w:t>
      </w:r>
      <w:proofErr w:type="spellStart"/>
      <w:r>
        <w:rPr>
          <w:rFonts w:ascii="Times New Roman" w:hAnsi="Times New Roman" w:cs="Times New Roman"/>
          <w:bCs/>
          <w:sz w:val="24"/>
        </w:rPr>
        <w:t>Majkut</w:t>
      </w:r>
      <w:proofErr w:type="spellEnd"/>
      <w:r>
        <w:rPr>
          <w:rFonts w:ascii="Times New Roman" w:hAnsi="Times New Roman" w:cs="Times New Roman"/>
          <w:bCs/>
          <w:sz w:val="24"/>
        </w:rPr>
        <w:t xml:space="preserve">, J., </w:t>
      </w:r>
      <w:proofErr w:type="spellStart"/>
      <w:r>
        <w:rPr>
          <w:rFonts w:ascii="Times New Roman" w:hAnsi="Times New Roman" w:cs="Times New Roman"/>
          <w:bCs/>
          <w:sz w:val="24"/>
        </w:rPr>
        <w:t>Metzl</w:t>
      </w:r>
      <w:proofErr w:type="spellEnd"/>
      <w:r>
        <w:rPr>
          <w:rFonts w:ascii="Times New Roman" w:hAnsi="Times New Roman" w:cs="Times New Roman"/>
          <w:bCs/>
          <w:sz w:val="24"/>
        </w:rPr>
        <w:t xml:space="preserve">, N., </w:t>
      </w:r>
      <w:proofErr w:type="spellStart"/>
      <w:r>
        <w:rPr>
          <w:rFonts w:ascii="Times New Roman" w:hAnsi="Times New Roman" w:cs="Times New Roman"/>
          <w:bCs/>
          <w:sz w:val="24"/>
        </w:rPr>
        <w:t>Ometto</w:t>
      </w:r>
      <w:proofErr w:type="spellEnd"/>
      <w:r>
        <w:rPr>
          <w:rFonts w:ascii="Times New Roman" w:hAnsi="Times New Roman" w:cs="Times New Roman"/>
          <w:bCs/>
          <w:sz w:val="24"/>
        </w:rPr>
        <w:t xml:space="preserve">,  J. P., Peters, G.P., Prentice, C.,  Randerson, J. T., Running, S.W., Sarmiento, J. L., Schuster, U., </w:t>
      </w:r>
      <w:proofErr w:type="spellStart"/>
      <w:r>
        <w:rPr>
          <w:rFonts w:ascii="Times New Roman" w:hAnsi="Times New Roman" w:cs="Times New Roman"/>
          <w:bCs/>
          <w:sz w:val="24"/>
        </w:rPr>
        <w:t>Sitch</w:t>
      </w:r>
      <w:proofErr w:type="spellEnd"/>
      <w:r>
        <w:rPr>
          <w:rFonts w:ascii="Times New Roman" w:hAnsi="Times New Roman" w:cs="Times New Roman"/>
          <w:bCs/>
          <w:sz w:val="24"/>
        </w:rPr>
        <w:t xml:space="preserve">, S., Takahashi, T., </w:t>
      </w:r>
      <w:proofErr w:type="spellStart"/>
      <w:r>
        <w:rPr>
          <w:rFonts w:ascii="Times New Roman" w:hAnsi="Times New Roman" w:cs="Times New Roman"/>
          <w:bCs/>
          <w:sz w:val="24"/>
        </w:rPr>
        <w:t>Viovy</w:t>
      </w:r>
      <w:proofErr w:type="spellEnd"/>
      <w:r>
        <w:rPr>
          <w:rFonts w:ascii="Times New Roman" w:hAnsi="Times New Roman" w:cs="Times New Roman"/>
          <w:bCs/>
          <w:sz w:val="24"/>
        </w:rPr>
        <w:t xml:space="preserve">, N., van der Werf, G.R. , and Woodward, F. I. (2009). Trends in the sources and sinks of carbon dioxide. </w:t>
      </w:r>
      <w:r>
        <w:rPr>
          <w:rFonts w:ascii="Times New Roman" w:hAnsi="Times New Roman" w:cs="Times New Roman"/>
          <w:bCs/>
          <w:i/>
          <w:sz w:val="24"/>
        </w:rPr>
        <w:t>Nature Geoscience</w:t>
      </w:r>
      <w:r>
        <w:rPr>
          <w:rFonts w:ascii="Times New Roman" w:hAnsi="Times New Roman" w:cs="Times New Roman"/>
          <w:bCs/>
          <w:sz w:val="24"/>
        </w:rPr>
        <w:t xml:space="preserve">, </w:t>
      </w:r>
      <w:r>
        <w:rPr>
          <w:rFonts w:ascii="Times New Roman" w:hAnsi="Times New Roman" w:cs="Times New Roman"/>
          <w:bCs/>
          <w:i/>
          <w:sz w:val="24"/>
        </w:rPr>
        <w:t>2</w:t>
      </w:r>
      <w:r>
        <w:rPr>
          <w:rFonts w:ascii="Times New Roman" w:hAnsi="Times New Roman" w:cs="Times New Roman"/>
          <w:bCs/>
          <w:sz w:val="24"/>
        </w:rPr>
        <w:t>(12), 831-836.</w:t>
      </w:r>
    </w:p>
    <w:p w14:paraId="5FADE9D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Randerson, J. T., Hoffman, F. M., Thornton, P. E., </w:t>
      </w:r>
      <w:proofErr w:type="spellStart"/>
      <w:r>
        <w:rPr>
          <w:rFonts w:ascii="Times New Roman" w:hAnsi="Times New Roman" w:cs="Times New Roman"/>
          <w:bCs/>
          <w:sz w:val="24"/>
        </w:rPr>
        <w:t>Mahowald</w:t>
      </w:r>
      <w:proofErr w:type="spellEnd"/>
      <w:r>
        <w:rPr>
          <w:rFonts w:ascii="Times New Roman" w:hAnsi="Times New Roman" w:cs="Times New Roman"/>
          <w:bCs/>
          <w:sz w:val="24"/>
        </w:rPr>
        <w:t>, N. M., Lindsay, K., LEE, Y. H.</w:t>
      </w:r>
      <w:proofErr w:type="gramStart"/>
      <w:r>
        <w:rPr>
          <w:rFonts w:ascii="Times New Roman" w:hAnsi="Times New Roman" w:cs="Times New Roman"/>
          <w:bCs/>
          <w:sz w:val="24"/>
        </w:rPr>
        <w:t>, ,</w:t>
      </w:r>
      <w:proofErr w:type="gramEnd"/>
      <w:r>
        <w:rPr>
          <w:rFonts w:ascii="Times New Roman" w:hAnsi="Times New Roman" w:cs="Times New Roman"/>
          <w:bCs/>
          <w:sz w:val="24"/>
        </w:rPr>
        <w:t xml:space="preserve"> </w:t>
      </w:r>
      <w:proofErr w:type="spellStart"/>
      <w:r>
        <w:rPr>
          <w:rFonts w:ascii="Times New Roman" w:hAnsi="Times New Roman" w:cs="Times New Roman"/>
          <w:bCs/>
          <w:sz w:val="24"/>
        </w:rPr>
        <w:t>Nevison</w:t>
      </w:r>
      <w:proofErr w:type="spellEnd"/>
      <w:r>
        <w:rPr>
          <w:rFonts w:ascii="Times New Roman" w:hAnsi="Times New Roman" w:cs="Times New Roman"/>
          <w:bCs/>
          <w:sz w:val="24"/>
        </w:rPr>
        <w:t xml:space="preserve">, C.D., </w:t>
      </w:r>
      <w:proofErr w:type="spellStart"/>
      <w:r>
        <w:rPr>
          <w:rFonts w:ascii="Times New Roman" w:hAnsi="Times New Roman" w:cs="Times New Roman"/>
          <w:bCs/>
          <w:sz w:val="24"/>
        </w:rPr>
        <w:t>Doney</w:t>
      </w:r>
      <w:proofErr w:type="spellEnd"/>
      <w:r>
        <w:rPr>
          <w:rFonts w:ascii="Times New Roman" w:hAnsi="Times New Roman" w:cs="Times New Roman"/>
          <w:bCs/>
          <w:sz w:val="24"/>
        </w:rPr>
        <w:t xml:space="preserve">, S.C., </w:t>
      </w:r>
      <w:proofErr w:type="spellStart"/>
      <w:r>
        <w:rPr>
          <w:rFonts w:ascii="Times New Roman" w:hAnsi="Times New Roman" w:cs="Times New Roman"/>
          <w:bCs/>
          <w:sz w:val="24"/>
        </w:rPr>
        <w:t>Bonan</w:t>
      </w:r>
      <w:proofErr w:type="spellEnd"/>
      <w:r>
        <w:rPr>
          <w:rFonts w:ascii="Times New Roman" w:hAnsi="Times New Roman" w:cs="Times New Roman"/>
          <w:bCs/>
          <w:sz w:val="24"/>
        </w:rPr>
        <w:t xml:space="preserve">, G., </w:t>
      </w:r>
      <w:proofErr w:type="spellStart"/>
      <w:r>
        <w:rPr>
          <w:rFonts w:ascii="Times New Roman" w:hAnsi="Times New Roman" w:cs="Times New Roman"/>
          <w:bCs/>
          <w:sz w:val="24"/>
        </w:rPr>
        <w:t>Stockli</w:t>
      </w:r>
      <w:proofErr w:type="spellEnd"/>
      <w:r>
        <w:rPr>
          <w:rFonts w:ascii="Times New Roman" w:hAnsi="Times New Roman" w:cs="Times New Roman"/>
          <w:bCs/>
          <w:sz w:val="24"/>
        </w:rPr>
        <w:t xml:space="preserve">, R., Covey, C., Running, S. W. , and Fung, I. Y. (2009). Systematic assessment of terrestrial biogeochemistry in coupled climate–carbon models. </w:t>
      </w:r>
      <w:r>
        <w:rPr>
          <w:rFonts w:ascii="Times New Roman" w:hAnsi="Times New Roman" w:cs="Times New Roman"/>
          <w:bCs/>
          <w:i/>
          <w:sz w:val="24"/>
        </w:rPr>
        <w:t>Global Change Biology</w:t>
      </w:r>
      <w:r>
        <w:rPr>
          <w:rFonts w:ascii="Times New Roman" w:hAnsi="Times New Roman" w:cs="Times New Roman"/>
          <w:bCs/>
          <w:sz w:val="24"/>
        </w:rPr>
        <w:t xml:space="preserve">, </w:t>
      </w:r>
      <w:r>
        <w:rPr>
          <w:rFonts w:ascii="Times New Roman" w:hAnsi="Times New Roman" w:cs="Times New Roman"/>
          <w:bCs/>
          <w:i/>
          <w:sz w:val="24"/>
        </w:rPr>
        <w:t>15</w:t>
      </w:r>
      <w:r>
        <w:rPr>
          <w:rFonts w:ascii="Times New Roman" w:hAnsi="Times New Roman" w:cs="Times New Roman"/>
          <w:bCs/>
          <w:sz w:val="24"/>
        </w:rPr>
        <w:t>(10), 2462-2484.</w:t>
      </w:r>
    </w:p>
    <w:p w14:paraId="3ED9978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Hashimoto, H., Dungan, J. L., White, M. A., Yang, F., Michaelis, A. R.,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R. R. (2008). Satellite-based estimation of surface vapor pressure deficits using MODIS land surface temperature data.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112</w:t>
      </w:r>
      <w:r>
        <w:rPr>
          <w:rFonts w:ascii="Times New Roman" w:hAnsi="Times New Roman" w:cs="Times New Roman"/>
          <w:bCs/>
          <w:sz w:val="24"/>
        </w:rPr>
        <w:t>(1), 142-155.</w:t>
      </w:r>
    </w:p>
    <w:p w14:paraId="3E3226F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Zhao, M., and Running, S. W. (2008). Remote Sensing of Terrestrial Primary Production and Carbon Cycle Advances in Land Remote Sensing: System, Modeling, Inversion and Application, S. Liang (Ed.), Springer, 423-444.</w:t>
      </w:r>
    </w:p>
    <w:p w14:paraId="77BC0C2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Friend, A. D., </w:t>
      </w:r>
      <w:proofErr w:type="spellStart"/>
      <w:r>
        <w:rPr>
          <w:rFonts w:ascii="Times New Roman" w:hAnsi="Times New Roman" w:cs="Times New Roman"/>
          <w:bCs/>
          <w:sz w:val="24"/>
        </w:rPr>
        <w:t>Arneth</w:t>
      </w:r>
      <w:proofErr w:type="spellEnd"/>
      <w:r>
        <w:rPr>
          <w:rFonts w:ascii="Times New Roman" w:hAnsi="Times New Roman" w:cs="Times New Roman"/>
          <w:bCs/>
          <w:sz w:val="24"/>
        </w:rPr>
        <w:t xml:space="preserve">, A., Kiang, N. Y., Lomas, M., Ogee, J., </w:t>
      </w:r>
      <w:proofErr w:type="spellStart"/>
      <w:proofErr w:type="gramStart"/>
      <w:r>
        <w:rPr>
          <w:rFonts w:ascii="Times New Roman" w:hAnsi="Times New Roman" w:cs="Times New Roman"/>
          <w:bCs/>
          <w:sz w:val="24"/>
        </w:rPr>
        <w:t>Rodenbeck</w:t>
      </w:r>
      <w:proofErr w:type="spellEnd"/>
      <w:r>
        <w:rPr>
          <w:rFonts w:ascii="Times New Roman" w:hAnsi="Times New Roman" w:cs="Times New Roman"/>
          <w:bCs/>
          <w:sz w:val="24"/>
        </w:rPr>
        <w:t>,  C.</w:t>
      </w:r>
      <w:proofErr w:type="gramEnd"/>
      <w:r>
        <w:rPr>
          <w:rFonts w:ascii="Times New Roman" w:hAnsi="Times New Roman" w:cs="Times New Roman"/>
          <w:bCs/>
          <w:sz w:val="24"/>
        </w:rPr>
        <w:t xml:space="preserve">, Running, S. W, </w:t>
      </w:r>
      <w:proofErr w:type="spellStart"/>
      <w:r>
        <w:rPr>
          <w:rFonts w:ascii="Times New Roman" w:hAnsi="Times New Roman" w:cs="Times New Roman"/>
          <w:bCs/>
          <w:sz w:val="24"/>
        </w:rPr>
        <w:t>Santaren</w:t>
      </w:r>
      <w:proofErr w:type="spellEnd"/>
      <w:r>
        <w:rPr>
          <w:rFonts w:ascii="Times New Roman" w:hAnsi="Times New Roman" w:cs="Times New Roman"/>
          <w:bCs/>
          <w:sz w:val="24"/>
        </w:rPr>
        <w:t xml:space="preserve">, J., </w:t>
      </w:r>
      <w:proofErr w:type="spellStart"/>
      <w:r>
        <w:rPr>
          <w:rFonts w:ascii="Times New Roman" w:hAnsi="Times New Roman" w:cs="Times New Roman"/>
          <w:bCs/>
          <w:sz w:val="24"/>
        </w:rPr>
        <w:t>Sitch</w:t>
      </w:r>
      <w:proofErr w:type="spellEnd"/>
      <w:r>
        <w:rPr>
          <w:rFonts w:ascii="Times New Roman" w:hAnsi="Times New Roman" w:cs="Times New Roman"/>
          <w:bCs/>
          <w:sz w:val="24"/>
        </w:rPr>
        <w:t xml:space="preserve">, S., </w:t>
      </w:r>
      <w:proofErr w:type="spellStart"/>
      <w:r>
        <w:rPr>
          <w:rFonts w:ascii="Times New Roman" w:hAnsi="Times New Roman" w:cs="Times New Roman"/>
          <w:bCs/>
          <w:sz w:val="24"/>
        </w:rPr>
        <w:t>Viovy</w:t>
      </w:r>
      <w:proofErr w:type="spellEnd"/>
      <w:r>
        <w:rPr>
          <w:rFonts w:ascii="Times New Roman" w:hAnsi="Times New Roman" w:cs="Times New Roman"/>
          <w:bCs/>
          <w:sz w:val="24"/>
        </w:rPr>
        <w:t xml:space="preserve">, N., Woodward, F. I., and </w:t>
      </w:r>
      <w:proofErr w:type="spellStart"/>
      <w:r>
        <w:rPr>
          <w:rFonts w:ascii="Times New Roman" w:hAnsi="Times New Roman" w:cs="Times New Roman"/>
          <w:bCs/>
          <w:sz w:val="24"/>
        </w:rPr>
        <w:t>Zaehle</w:t>
      </w:r>
      <w:proofErr w:type="spellEnd"/>
      <w:r>
        <w:rPr>
          <w:rFonts w:ascii="Times New Roman" w:hAnsi="Times New Roman" w:cs="Times New Roman"/>
          <w:bCs/>
          <w:sz w:val="24"/>
        </w:rPr>
        <w:t xml:space="preserve">, S. (2007). FLUXNET and modelling the global carbon cycle. </w:t>
      </w:r>
      <w:r>
        <w:rPr>
          <w:rFonts w:ascii="Times New Roman" w:hAnsi="Times New Roman" w:cs="Times New Roman"/>
          <w:bCs/>
          <w:i/>
          <w:iCs/>
          <w:sz w:val="24"/>
        </w:rPr>
        <w:t>Global Change Biology</w:t>
      </w:r>
      <w:r>
        <w:rPr>
          <w:rFonts w:ascii="Times New Roman" w:hAnsi="Times New Roman" w:cs="Times New Roman"/>
          <w:bCs/>
          <w:sz w:val="24"/>
        </w:rPr>
        <w:t>, </w:t>
      </w:r>
      <w:r>
        <w:rPr>
          <w:rFonts w:ascii="Times New Roman" w:hAnsi="Times New Roman" w:cs="Times New Roman"/>
          <w:bCs/>
          <w:i/>
          <w:iCs/>
          <w:sz w:val="24"/>
        </w:rPr>
        <w:t>13</w:t>
      </w:r>
      <w:r>
        <w:rPr>
          <w:rFonts w:ascii="Times New Roman" w:hAnsi="Times New Roman" w:cs="Times New Roman"/>
          <w:bCs/>
          <w:sz w:val="24"/>
        </w:rPr>
        <w:t>(3), 610-633.</w:t>
      </w:r>
    </w:p>
    <w:p w14:paraId="651BA1F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lastRenderedPageBreak/>
        <w:t xml:space="preserve">Kimball, J. S., Zhao, M., McGuire, A. D., </w:t>
      </w:r>
      <w:proofErr w:type="spellStart"/>
      <w:r>
        <w:rPr>
          <w:rFonts w:ascii="Times New Roman" w:hAnsi="Times New Roman" w:cs="Times New Roman"/>
          <w:bCs/>
          <w:sz w:val="24"/>
        </w:rPr>
        <w:t>Heinsch</w:t>
      </w:r>
      <w:proofErr w:type="spellEnd"/>
      <w:r>
        <w:rPr>
          <w:rFonts w:ascii="Times New Roman" w:hAnsi="Times New Roman" w:cs="Times New Roman"/>
          <w:bCs/>
          <w:sz w:val="24"/>
        </w:rPr>
        <w:t xml:space="preserve">, F. A., Clein, J., Calef, M., Jolly, W. M., Kang, S., </w:t>
      </w:r>
      <w:proofErr w:type="spellStart"/>
      <w:r>
        <w:rPr>
          <w:rFonts w:ascii="Times New Roman" w:hAnsi="Times New Roman" w:cs="Times New Roman"/>
          <w:bCs/>
          <w:sz w:val="24"/>
        </w:rPr>
        <w:t>Euskirchen</w:t>
      </w:r>
      <w:proofErr w:type="spellEnd"/>
      <w:r>
        <w:rPr>
          <w:rFonts w:ascii="Times New Roman" w:hAnsi="Times New Roman" w:cs="Times New Roman"/>
          <w:bCs/>
          <w:sz w:val="24"/>
        </w:rPr>
        <w:t>, S. E., McDonald, K. C., and Running, S. W. (2007). Recent climate-driven increases in vegetation productivity for the western arctic: evidence of an acceleration of the northern terrestrial carbon cycle. </w:t>
      </w:r>
      <w:r>
        <w:rPr>
          <w:rFonts w:ascii="Times New Roman" w:hAnsi="Times New Roman" w:cs="Times New Roman"/>
          <w:bCs/>
          <w:i/>
          <w:iCs/>
          <w:sz w:val="24"/>
        </w:rPr>
        <w:t>Earth Interactions</w:t>
      </w:r>
      <w:r>
        <w:rPr>
          <w:rFonts w:ascii="Times New Roman" w:hAnsi="Times New Roman" w:cs="Times New Roman"/>
          <w:bCs/>
          <w:sz w:val="24"/>
        </w:rPr>
        <w:t>, </w:t>
      </w:r>
      <w:r>
        <w:rPr>
          <w:rFonts w:ascii="Times New Roman" w:hAnsi="Times New Roman" w:cs="Times New Roman"/>
          <w:bCs/>
          <w:i/>
          <w:iCs/>
          <w:sz w:val="24"/>
        </w:rPr>
        <w:t>11</w:t>
      </w:r>
      <w:r>
        <w:rPr>
          <w:rFonts w:ascii="Times New Roman" w:hAnsi="Times New Roman" w:cs="Times New Roman"/>
          <w:bCs/>
          <w:sz w:val="24"/>
        </w:rPr>
        <w:t>(4), 1-30.</w:t>
      </w:r>
    </w:p>
    <w:p w14:paraId="114FC79C"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Liang, S., T. Zheng, D. Wang, K. Wang, R. Liu, S. </w:t>
      </w:r>
      <w:proofErr w:type="spellStart"/>
      <w:r>
        <w:rPr>
          <w:rFonts w:ascii="Times New Roman" w:hAnsi="Times New Roman" w:cs="Times New Roman"/>
          <w:bCs/>
          <w:sz w:val="24"/>
        </w:rPr>
        <w:t>Tsay</w:t>
      </w:r>
      <w:proofErr w:type="spellEnd"/>
      <w:r>
        <w:rPr>
          <w:rFonts w:ascii="Times New Roman" w:hAnsi="Times New Roman" w:cs="Times New Roman"/>
          <w:bCs/>
          <w:sz w:val="24"/>
        </w:rPr>
        <w:t xml:space="preserve">, S. W. Running, J. Townshend. (2007) Mapping High-Resolution Incident Photosynthetically Active Radiation over Land from Polar-Orbiting and Geostationary Satellite Data.  </w:t>
      </w:r>
      <w:r w:rsidRPr="00977C54">
        <w:rPr>
          <w:rFonts w:ascii="Times New Roman" w:hAnsi="Times New Roman" w:cs="Times New Roman"/>
          <w:bCs/>
          <w:i/>
          <w:iCs/>
          <w:sz w:val="24"/>
        </w:rPr>
        <w:t>Photogrammetric Engineering and Remote Sensing</w:t>
      </w:r>
      <w:r>
        <w:rPr>
          <w:rFonts w:ascii="Times New Roman" w:hAnsi="Times New Roman" w:cs="Times New Roman"/>
          <w:bCs/>
          <w:sz w:val="24"/>
        </w:rPr>
        <w:t xml:space="preserve"> 1085-1089. </w:t>
      </w:r>
    </w:p>
    <w:p w14:paraId="52FC7BD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Mu, Q., Zhao, M., </w:t>
      </w:r>
      <w:proofErr w:type="spellStart"/>
      <w:r>
        <w:rPr>
          <w:rFonts w:ascii="Times New Roman" w:hAnsi="Times New Roman" w:cs="Times New Roman"/>
          <w:bCs/>
          <w:sz w:val="24"/>
        </w:rPr>
        <w:t>Heinsch</w:t>
      </w:r>
      <w:proofErr w:type="spellEnd"/>
      <w:r>
        <w:rPr>
          <w:rFonts w:ascii="Times New Roman" w:hAnsi="Times New Roman" w:cs="Times New Roman"/>
          <w:bCs/>
          <w:sz w:val="24"/>
        </w:rPr>
        <w:t xml:space="preserve">, F. A., Liu, M., Tian, H., and Running, S. W. (2007). Evaluating water stress controls on primary production in biogeochemical and remote </w:t>
      </w:r>
      <w:proofErr w:type="gramStart"/>
      <w:r>
        <w:rPr>
          <w:rFonts w:ascii="Times New Roman" w:hAnsi="Times New Roman" w:cs="Times New Roman"/>
          <w:bCs/>
          <w:sz w:val="24"/>
        </w:rPr>
        <w:t>sensing based</w:t>
      </w:r>
      <w:proofErr w:type="gramEnd"/>
      <w:r>
        <w:rPr>
          <w:rFonts w:ascii="Times New Roman" w:hAnsi="Times New Roman" w:cs="Times New Roman"/>
          <w:bCs/>
          <w:sz w:val="24"/>
        </w:rPr>
        <w:t xml:space="preserve"> models. </w:t>
      </w:r>
      <w:r>
        <w:rPr>
          <w:rFonts w:ascii="Times New Roman" w:hAnsi="Times New Roman" w:cs="Times New Roman"/>
          <w:bCs/>
          <w:i/>
          <w:iCs/>
          <w:sz w:val="24"/>
        </w:rPr>
        <w:t xml:space="preserve">Journal of Geophysical Research: </w:t>
      </w:r>
      <w:proofErr w:type="spellStart"/>
      <w:r>
        <w:rPr>
          <w:rFonts w:ascii="Times New Roman" w:hAnsi="Times New Roman" w:cs="Times New Roman"/>
          <w:bCs/>
          <w:i/>
          <w:iCs/>
          <w:sz w:val="24"/>
        </w:rPr>
        <w:t>Biogeosciences</w:t>
      </w:r>
      <w:proofErr w:type="spellEnd"/>
      <w:r>
        <w:rPr>
          <w:rFonts w:ascii="Times New Roman" w:hAnsi="Times New Roman" w:cs="Times New Roman"/>
          <w:bCs/>
          <w:sz w:val="24"/>
        </w:rPr>
        <w:t>, </w:t>
      </w:r>
      <w:r>
        <w:rPr>
          <w:rFonts w:ascii="Times New Roman" w:hAnsi="Times New Roman" w:cs="Times New Roman"/>
          <w:bCs/>
          <w:i/>
          <w:iCs/>
          <w:sz w:val="24"/>
        </w:rPr>
        <w:t>112</w:t>
      </w:r>
      <w:r>
        <w:rPr>
          <w:rFonts w:ascii="Times New Roman" w:hAnsi="Times New Roman" w:cs="Times New Roman"/>
          <w:bCs/>
          <w:sz w:val="24"/>
        </w:rPr>
        <w:t>(G1).</w:t>
      </w:r>
    </w:p>
    <w:p w14:paraId="4DCB6979"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Reichstein, M., </w:t>
      </w:r>
      <w:proofErr w:type="spellStart"/>
      <w:r>
        <w:rPr>
          <w:rFonts w:ascii="Times New Roman" w:hAnsi="Times New Roman" w:cs="Times New Roman"/>
          <w:bCs/>
          <w:sz w:val="24"/>
        </w:rPr>
        <w:t>Ciais</w:t>
      </w:r>
      <w:proofErr w:type="spellEnd"/>
      <w:r>
        <w:rPr>
          <w:rFonts w:ascii="Times New Roman" w:hAnsi="Times New Roman" w:cs="Times New Roman"/>
          <w:bCs/>
          <w:sz w:val="24"/>
        </w:rPr>
        <w:t xml:space="preserve">, P., </w:t>
      </w:r>
      <w:proofErr w:type="spellStart"/>
      <w:r>
        <w:rPr>
          <w:rFonts w:ascii="Times New Roman" w:hAnsi="Times New Roman" w:cs="Times New Roman"/>
          <w:bCs/>
          <w:sz w:val="24"/>
        </w:rPr>
        <w:t>Papale</w:t>
      </w:r>
      <w:proofErr w:type="spellEnd"/>
      <w:r>
        <w:rPr>
          <w:rFonts w:ascii="Times New Roman" w:hAnsi="Times New Roman" w:cs="Times New Roman"/>
          <w:bCs/>
          <w:sz w:val="24"/>
        </w:rPr>
        <w:t xml:space="preserve">, D., </w:t>
      </w:r>
      <w:proofErr w:type="spellStart"/>
      <w:r>
        <w:rPr>
          <w:rFonts w:ascii="Times New Roman" w:hAnsi="Times New Roman" w:cs="Times New Roman"/>
          <w:bCs/>
          <w:sz w:val="24"/>
        </w:rPr>
        <w:t>Valentini</w:t>
      </w:r>
      <w:proofErr w:type="spellEnd"/>
      <w:r>
        <w:rPr>
          <w:rFonts w:ascii="Times New Roman" w:hAnsi="Times New Roman" w:cs="Times New Roman"/>
          <w:bCs/>
          <w:sz w:val="24"/>
        </w:rPr>
        <w:t xml:space="preserve">, R., Running, S., </w:t>
      </w:r>
      <w:proofErr w:type="spellStart"/>
      <w:r>
        <w:rPr>
          <w:rFonts w:ascii="Times New Roman" w:hAnsi="Times New Roman" w:cs="Times New Roman"/>
          <w:bCs/>
          <w:sz w:val="24"/>
        </w:rPr>
        <w:t>Viovy</w:t>
      </w:r>
      <w:proofErr w:type="spellEnd"/>
      <w:r>
        <w:rPr>
          <w:rFonts w:ascii="Times New Roman" w:hAnsi="Times New Roman" w:cs="Times New Roman"/>
          <w:bCs/>
          <w:sz w:val="24"/>
        </w:rPr>
        <w:t xml:space="preserve">, N., </w:t>
      </w:r>
      <w:proofErr w:type="spellStart"/>
      <w:r>
        <w:rPr>
          <w:rFonts w:ascii="Times New Roman" w:hAnsi="Times New Roman" w:cs="Times New Roman"/>
          <w:bCs/>
          <w:sz w:val="24"/>
        </w:rPr>
        <w:t>Aubinet</w:t>
      </w:r>
      <w:proofErr w:type="spellEnd"/>
      <w:r>
        <w:rPr>
          <w:rFonts w:ascii="Times New Roman" w:hAnsi="Times New Roman" w:cs="Times New Roman"/>
          <w:bCs/>
          <w:sz w:val="24"/>
        </w:rPr>
        <w:t xml:space="preserve">, M., </w:t>
      </w:r>
      <w:proofErr w:type="spellStart"/>
      <w:r>
        <w:rPr>
          <w:rFonts w:ascii="Times New Roman" w:hAnsi="Times New Roman" w:cs="Times New Roman"/>
          <w:bCs/>
          <w:sz w:val="24"/>
        </w:rPr>
        <w:t>Bernhofer</w:t>
      </w:r>
      <w:proofErr w:type="spellEnd"/>
      <w:r>
        <w:rPr>
          <w:rFonts w:ascii="Times New Roman" w:hAnsi="Times New Roman" w:cs="Times New Roman"/>
          <w:bCs/>
          <w:sz w:val="24"/>
        </w:rPr>
        <w:t xml:space="preserve">, Chr., Buchmann, N., Carrara, A., </w:t>
      </w:r>
      <w:proofErr w:type="spellStart"/>
      <w:r>
        <w:rPr>
          <w:rFonts w:ascii="Times New Roman" w:hAnsi="Times New Roman" w:cs="Times New Roman"/>
          <w:bCs/>
          <w:sz w:val="24"/>
        </w:rPr>
        <w:t>Grünwald</w:t>
      </w:r>
      <w:proofErr w:type="spellEnd"/>
      <w:r>
        <w:rPr>
          <w:rFonts w:ascii="Times New Roman" w:hAnsi="Times New Roman" w:cs="Times New Roman"/>
          <w:bCs/>
          <w:sz w:val="24"/>
        </w:rPr>
        <w:t xml:space="preserve">, T., </w:t>
      </w:r>
      <w:proofErr w:type="spellStart"/>
      <w:r>
        <w:rPr>
          <w:rFonts w:ascii="Times New Roman" w:hAnsi="Times New Roman" w:cs="Times New Roman"/>
          <w:bCs/>
          <w:sz w:val="24"/>
        </w:rPr>
        <w:t>Heimann</w:t>
      </w:r>
      <w:proofErr w:type="spellEnd"/>
      <w:r>
        <w:rPr>
          <w:rFonts w:ascii="Times New Roman" w:hAnsi="Times New Roman" w:cs="Times New Roman"/>
          <w:bCs/>
          <w:sz w:val="24"/>
        </w:rPr>
        <w:t xml:space="preserve">, M., </w:t>
      </w:r>
      <w:proofErr w:type="spellStart"/>
      <w:r>
        <w:rPr>
          <w:rFonts w:ascii="Times New Roman" w:hAnsi="Times New Roman" w:cs="Times New Roman"/>
          <w:bCs/>
          <w:sz w:val="24"/>
        </w:rPr>
        <w:t>Heinesch</w:t>
      </w:r>
      <w:proofErr w:type="spellEnd"/>
      <w:r>
        <w:rPr>
          <w:rFonts w:ascii="Times New Roman" w:hAnsi="Times New Roman" w:cs="Times New Roman"/>
          <w:bCs/>
          <w:sz w:val="24"/>
        </w:rPr>
        <w:t xml:space="preserve">, B., </w:t>
      </w:r>
      <w:proofErr w:type="spellStart"/>
      <w:r>
        <w:rPr>
          <w:rFonts w:ascii="Times New Roman" w:hAnsi="Times New Roman" w:cs="Times New Roman"/>
          <w:bCs/>
          <w:sz w:val="24"/>
        </w:rPr>
        <w:t>Knohl</w:t>
      </w:r>
      <w:proofErr w:type="spellEnd"/>
      <w:r>
        <w:rPr>
          <w:rFonts w:ascii="Times New Roman" w:hAnsi="Times New Roman" w:cs="Times New Roman"/>
          <w:bCs/>
          <w:sz w:val="24"/>
        </w:rPr>
        <w:t xml:space="preserve">, A., </w:t>
      </w:r>
      <w:proofErr w:type="spellStart"/>
      <w:r>
        <w:rPr>
          <w:rFonts w:ascii="Times New Roman" w:hAnsi="Times New Roman" w:cs="Times New Roman"/>
          <w:bCs/>
          <w:sz w:val="24"/>
        </w:rPr>
        <w:t>Kutsch</w:t>
      </w:r>
      <w:proofErr w:type="spellEnd"/>
      <w:r>
        <w:rPr>
          <w:rFonts w:ascii="Times New Roman" w:hAnsi="Times New Roman" w:cs="Times New Roman"/>
          <w:bCs/>
          <w:sz w:val="24"/>
        </w:rPr>
        <w:t xml:space="preserve">, W., </w:t>
      </w:r>
      <w:proofErr w:type="spellStart"/>
      <w:r>
        <w:rPr>
          <w:rFonts w:ascii="Times New Roman" w:hAnsi="Times New Roman" w:cs="Times New Roman"/>
          <w:bCs/>
          <w:sz w:val="24"/>
        </w:rPr>
        <w:t>Loustau</w:t>
      </w:r>
      <w:proofErr w:type="spellEnd"/>
      <w:r>
        <w:rPr>
          <w:rFonts w:ascii="Times New Roman" w:hAnsi="Times New Roman" w:cs="Times New Roman"/>
          <w:bCs/>
          <w:sz w:val="24"/>
        </w:rPr>
        <w:t xml:space="preserve">, D., </w:t>
      </w:r>
      <w:proofErr w:type="spellStart"/>
      <w:r>
        <w:rPr>
          <w:rFonts w:ascii="Times New Roman" w:hAnsi="Times New Roman" w:cs="Times New Roman"/>
          <w:bCs/>
          <w:sz w:val="24"/>
        </w:rPr>
        <w:t>Manca</w:t>
      </w:r>
      <w:proofErr w:type="spellEnd"/>
      <w:r>
        <w:rPr>
          <w:rFonts w:ascii="Times New Roman" w:hAnsi="Times New Roman" w:cs="Times New Roman"/>
          <w:bCs/>
          <w:sz w:val="24"/>
        </w:rPr>
        <w:t xml:space="preserve">,  G., </w:t>
      </w:r>
      <w:proofErr w:type="spellStart"/>
      <w:r>
        <w:rPr>
          <w:rFonts w:ascii="Times New Roman" w:hAnsi="Times New Roman" w:cs="Times New Roman"/>
          <w:bCs/>
          <w:sz w:val="24"/>
        </w:rPr>
        <w:t>Matteucci</w:t>
      </w:r>
      <w:proofErr w:type="spellEnd"/>
      <w:r>
        <w:rPr>
          <w:rFonts w:ascii="Times New Roman" w:hAnsi="Times New Roman" w:cs="Times New Roman"/>
          <w:bCs/>
          <w:sz w:val="24"/>
        </w:rPr>
        <w:t xml:space="preserve">, G., </w:t>
      </w:r>
      <w:proofErr w:type="spellStart"/>
      <w:r>
        <w:rPr>
          <w:rFonts w:ascii="Times New Roman" w:hAnsi="Times New Roman" w:cs="Times New Roman"/>
          <w:bCs/>
          <w:sz w:val="24"/>
        </w:rPr>
        <w:t>Miglietta</w:t>
      </w:r>
      <w:proofErr w:type="spellEnd"/>
      <w:r>
        <w:rPr>
          <w:rFonts w:ascii="Times New Roman" w:hAnsi="Times New Roman" w:cs="Times New Roman"/>
          <w:bCs/>
          <w:sz w:val="24"/>
        </w:rPr>
        <w:t xml:space="preserve">, F., </w:t>
      </w:r>
      <w:proofErr w:type="spellStart"/>
      <w:r>
        <w:rPr>
          <w:rFonts w:ascii="Times New Roman" w:hAnsi="Times New Roman" w:cs="Times New Roman"/>
          <w:bCs/>
          <w:sz w:val="24"/>
        </w:rPr>
        <w:t>Ourcival</w:t>
      </w:r>
      <w:proofErr w:type="spellEnd"/>
      <w:r>
        <w:rPr>
          <w:rFonts w:ascii="Times New Roman" w:hAnsi="Times New Roman" w:cs="Times New Roman"/>
          <w:bCs/>
          <w:sz w:val="24"/>
        </w:rPr>
        <w:t xml:space="preserve">, J. M., </w:t>
      </w:r>
      <w:proofErr w:type="spellStart"/>
      <w:r>
        <w:rPr>
          <w:rFonts w:ascii="Times New Roman" w:hAnsi="Times New Roman" w:cs="Times New Roman"/>
          <w:bCs/>
          <w:sz w:val="24"/>
        </w:rPr>
        <w:t>Pilegaard</w:t>
      </w:r>
      <w:proofErr w:type="spellEnd"/>
      <w:r>
        <w:rPr>
          <w:rFonts w:ascii="Times New Roman" w:hAnsi="Times New Roman" w:cs="Times New Roman"/>
          <w:bCs/>
          <w:sz w:val="24"/>
        </w:rPr>
        <w:t xml:space="preserve">, K., </w:t>
      </w:r>
      <w:proofErr w:type="spellStart"/>
      <w:r>
        <w:rPr>
          <w:rFonts w:ascii="Times New Roman" w:hAnsi="Times New Roman" w:cs="Times New Roman"/>
          <w:bCs/>
          <w:sz w:val="24"/>
        </w:rPr>
        <w:t>Pumpanen</w:t>
      </w:r>
      <w:proofErr w:type="spellEnd"/>
      <w:r>
        <w:rPr>
          <w:rFonts w:ascii="Times New Roman" w:hAnsi="Times New Roman" w:cs="Times New Roman"/>
          <w:bCs/>
          <w:sz w:val="24"/>
        </w:rPr>
        <w:t xml:space="preserve">, J., </w:t>
      </w:r>
      <w:proofErr w:type="spellStart"/>
      <w:r>
        <w:rPr>
          <w:rFonts w:ascii="Times New Roman" w:hAnsi="Times New Roman" w:cs="Times New Roman"/>
          <w:bCs/>
          <w:sz w:val="24"/>
        </w:rPr>
        <w:t>Rambal</w:t>
      </w:r>
      <w:proofErr w:type="spellEnd"/>
      <w:r>
        <w:rPr>
          <w:rFonts w:ascii="Times New Roman" w:hAnsi="Times New Roman" w:cs="Times New Roman"/>
          <w:bCs/>
          <w:sz w:val="24"/>
        </w:rPr>
        <w:t xml:space="preserve">, S., </w:t>
      </w:r>
      <w:proofErr w:type="spellStart"/>
      <w:r>
        <w:rPr>
          <w:rFonts w:ascii="Times New Roman" w:hAnsi="Times New Roman" w:cs="Times New Roman"/>
          <w:bCs/>
          <w:sz w:val="24"/>
        </w:rPr>
        <w:t>Schaphoff</w:t>
      </w:r>
      <w:proofErr w:type="spellEnd"/>
      <w:r>
        <w:rPr>
          <w:rFonts w:ascii="Times New Roman" w:hAnsi="Times New Roman" w:cs="Times New Roman"/>
          <w:bCs/>
          <w:sz w:val="24"/>
        </w:rPr>
        <w:t xml:space="preserve">, S., Seufert, G., </w:t>
      </w:r>
      <w:proofErr w:type="spellStart"/>
      <w:r>
        <w:rPr>
          <w:rFonts w:ascii="Times New Roman" w:hAnsi="Times New Roman" w:cs="Times New Roman"/>
          <w:bCs/>
          <w:sz w:val="24"/>
        </w:rPr>
        <w:t>Soussana</w:t>
      </w:r>
      <w:proofErr w:type="spellEnd"/>
      <w:r>
        <w:rPr>
          <w:rFonts w:ascii="Times New Roman" w:hAnsi="Times New Roman" w:cs="Times New Roman"/>
          <w:bCs/>
          <w:sz w:val="24"/>
        </w:rPr>
        <w:t xml:space="preserve">, J. F., Sanz, M. J., </w:t>
      </w:r>
      <w:proofErr w:type="spellStart"/>
      <w:r>
        <w:rPr>
          <w:rFonts w:ascii="Times New Roman" w:hAnsi="Times New Roman" w:cs="Times New Roman"/>
          <w:bCs/>
          <w:sz w:val="24"/>
        </w:rPr>
        <w:t>Vesala</w:t>
      </w:r>
      <w:proofErr w:type="spellEnd"/>
      <w:r>
        <w:rPr>
          <w:rFonts w:ascii="Times New Roman" w:hAnsi="Times New Roman" w:cs="Times New Roman"/>
          <w:bCs/>
          <w:sz w:val="24"/>
        </w:rPr>
        <w:t>, T., and Zhao, M. (2007). Reduction of ecosystem productivity and respiration during the European summer 2003 climate anomaly: a joint flux tower, remote sensing and modelling analysis. </w:t>
      </w:r>
      <w:r>
        <w:rPr>
          <w:rFonts w:ascii="Times New Roman" w:hAnsi="Times New Roman" w:cs="Times New Roman"/>
          <w:bCs/>
          <w:i/>
          <w:iCs/>
          <w:sz w:val="24"/>
        </w:rPr>
        <w:t>Global Change Biology</w:t>
      </w:r>
      <w:r>
        <w:rPr>
          <w:rFonts w:ascii="Times New Roman" w:hAnsi="Times New Roman" w:cs="Times New Roman"/>
          <w:bCs/>
          <w:sz w:val="24"/>
        </w:rPr>
        <w:t>, </w:t>
      </w:r>
      <w:r>
        <w:rPr>
          <w:rFonts w:ascii="Times New Roman" w:hAnsi="Times New Roman" w:cs="Times New Roman"/>
          <w:bCs/>
          <w:i/>
          <w:iCs/>
          <w:sz w:val="24"/>
        </w:rPr>
        <w:t>13</w:t>
      </w:r>
      <w:r>
        <w:rPr>
          <w:rFonts w:ascii="Times New Roman" w:hAnsi="Times New Roman" w:cs="Times New Roman"/>
          <w:bCs/>
          <w:sz w:val="24"/>
        </w:rPr>
        <w:t xml:space="preserve">(3), 634-651. </w:t>
      </w:r>
    </w:p>
    <w:p w14:paraId="2C77674D"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Zhang, K., Kimball, J. S., McDonald, K. C., </w:t>
      </w:r>
      <w:proofErr w:type="spellStart"/>
      <w:r>
        <w:rPr>
          <w:rFonts w:ascii="Times New Roman" w:hAnsi="Times New Roman" w:cs="Times New Roman"/>
          <w:bCs/>
          <w:sz w:val="24"/>
        </w:rPr>
        <w:t>Cassano</w:t>
      </w:r>
      <w:proofErr w:type="spellEnd"/>
      <w:r>
        <w:rPr>
          <w:rFonts w:ascii="Times New Roman" w:hAnsi="Times New Roman" w:cs="Times New Roman"/>
          <w:bCs/>
          <w:sz w:val="24"/>
        </w:rPr>
        <w:t xml:space="preserve">, J. J., and Running, S.W. (2007). Impacts of large-scale oscillations on pan-Arctic terrestrial net primary production. </w:t>
      </w:r>
      <w:r>
        <w:rPr>
          <w:rFonts w:ascii="Times New Roman" w:hAnsi="Times New Roman" w:cs="Times New Roman"/>
          <w:bCs/>
          <w:i/>
          <w:sz w:val="24"/>
        </w:rPr>
        <w:t>Geophysical Research Letters,</w:t>
      </w:r>
      <w:r>
        <w:rPr>
          <w:rFonts w:ascii="Times New Roman" w:hAnsi="Times New Roman" w:cs="Times New Roman"/>
          <w:bCs/>
          <w:sz w:val="24"/>
        </w:rPr>
        <w:t xml:space="preserve"> </w:t>
      </w:r>
      <w:r>
        <w:rPr>
          <w:rFonts w:ascii="Times New Roman" w:hAnsi="Times New Roman" w:cs="Times New Roman"/>
          <w:bCs/>
          <w:i/>
          <w:sz w:val="24"/>
        </w:rPr>
        <w:t>34</w:t>
      </w:r>
      <w:r>
        <w:rPr>
          <w:rFonts w:ascii="Times New Roman" w:hAnsi="Times New Roman" w:cs="Times New Roman"/>
          <w:bCs/>
          <w:sz w:val="24"/>
        </w:rPr>
        <w:t>(21), L21403.</w:t>
      </w:r>
    </w:p>
    <w:p w14:paraId="69E3B5C5"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Zhang, K., Kimball, J. S., Zhao, M., </w:t>
      </w:r>
      <w:proofErr w:type="spellStart"/>
      <w:r>
        <w:rPr>
          <w:rFonts w:ascii="Times New Roman" w:hAnsi="Times New Roman" w:cs="Times New Roman"/>
          <w:bCs/>
          <w:sz w:val="24"/>
        </w:rPr>
        <w:t>Oechel</w:t>
      </w:r>
      <w:proofErr w:type="spellEnd"/>
      <w:r>
        <w:rPr>
          <w:rFonts w:ascii="Times New Roman" w:hAnsi="Times New Roman" w:cs="Times New Roman"/>
          <w:bCs/>
          <w:sz w:val="24"/>
        </w:rPr>
        <w:t xml:space="preserve">, W. C., </w:t>
      </w:r>
      <w:proofErr w:type="spellStart"/>
      <w:r>
        <w:rPr>
          <w:rFonts w:ascii="Times New Roman" w:hAnsi="Times New Roman" w:cs="Times New Roman"/>
          <w:bCs/>
          <w:sz w:val="24"/>
        </w:rPr>
        <w:t>Cassano</w:t>
      </w:r>
      <w:proofErr w:type="spellEnd"/>
      <w:r>
        <w:rPr>
          <w:rFonts w:ascii="Times New Roman" w:hAnsi="Times New Roman" w:cs="Times New Roman"/>
          <w:bCs/>
          <w:sz w:val="24"/>
        </w:rPr>
        <w:t>, J., and Running, S. W. (2007). Sensitivity of pan</w:t>
      </w:r>
      <w:r>
        <w:rPr>
          <w:rFonts w:ascii="Cambria Math" w:hAnsi="Cambria Math" w:cs="Cambria Math"/>
          <w:bCs/>
          <w:sz w:val="24"/>
        </w:rPr>
        <w:t>‐</w:t>
      </w:r>
      <w:r>
        <w:rPr>
          <w:rFonts w:ascii="Times New Roman" w:hAnsi="Times New Roman" w:cs="Times New Roman"/>
          <w:bCs/>
          <w:sz w:val="24"/>
        </w:rPr>
        <w:t>Arctic terrestrial net primary productivity simulations to daily surface meteorology from NCEP</w:t>
      </w:r>
      <w:r>
        <w:rPr>
          <w:rFonts w:ascii="Cambria Math" w:hAnsi="Cambria Math" w:cs="Cambria Math"/>
          <w:bCs/>
          <w:sz w:val="24"/>
        </w:rPr>
        <w:t>‐</w:t>
      </w:r>
      <w:r>
        <w:rPr>
          <w:rFonts w:ascii="Times New Roman" w:hAnsi="Times New Roman" w:cs="Times New Roman"/>
          <w:bCs/>
          <w:sz w:val="24"/>
        </w:rPr>
        <w:t>NCAR and ERA</w:t>
      </w:r>
      <w:r>
        <w:rPr>
          <w:rFonts w:ascii="Cambria Math" w:hAnsi="Cambria Math" w:cs="Cambria Math"/>
          <w:bCs/>
          <w:sz w:val="24"/>
        </w:rPr>
        <w:t>‐</w:t>
      </w:r>
      <w:r>
        <w:rPr>
          <w:rFonts w:ascii="Times New Roman" w:hAnsi="Times New Roman" w:cs="Times New Roman"/>
          <w:bCs/>
          <w:sz w:val="24"/>
        </w:rPr>
        <w:t xml:space="preserve">40 </w:t>
      </w:r>
      <w:proofErr w:type="spellStart"/>
      <w:r>
        <w:rPr>
          <w:rFonts w:ascii="Times New Roman" w:hAnsi="Times New Roman" w:cs="Times New Roman"/>
          <w:bCs/>
          <w:sz w:val="24"/>
        </w:rPr>
        <w:t>reanalyses</w:t>
      </w:r>
      <w:proofErr w:type="spellEnd"/>
      <w:r>
        <w:rPr>
          <w:rFonts w:ascii="Times New Roman" w:hAnsi="Times New Roman" w:cs="Times New Roman"/>
          <w:bCs/>
          <w:sz w:val="24"/>
        </w:rPr>
        <w:t>. </w:t>
      </w:r>
      <w:r>
        <w:rPr>
          <w:rFonts w:ascii="Times New Roman" w:hAnsi="Times New Roman" w:cs="Times New Roman"/>
          <w:bCs/>
          <w:i/>
          <w:iCs/>
          <w:sz w:val="24"/>
        </w:rPr>
        <w:t xml:space="preserve">Journal of Geophysical Research: </w:t>
      </w:r>
      <w:proofErr w:type="spellStart"/>
      <w:r>
        <w:rPr>
          <w:rFonts w:ascii="Times New Roman" w:hAnsi="Times New Roman" w:cs="Times New Roman"/>
          <w:bCs/>
          <w:i/>
          <w:iCs/>
          <w:sz w:val="24"/>
        </w:rPr>
        <w:t>Biogeosciences</w:t>
      </w:r>
      <w:proofErr w:type="spellEnd"/>
      <w:r>
        <w:rPr>
          <w:rFonts w:ascii="Times New Roman" w:hAnsi="Times New Roman" w:cs="Times New Roman"/>
          <w:bCs/>
          <w:sz w:val="24"/>
        </w:rPr>
        <w:t xml:space="preserve">, </w:t>
      </w:r>
      <w:r>
        <w:rPr>
          <w:rFonts w:ascii="Times New Roman" w:hAnsi="Times New Roman" w:cs="Times New Roman"/>
          <w:bCs/>
          <w:i/>
          <w:iCs/>
          <w:sz w:val="24"/>
        </w:rPr>
        <w:t>112</w:t>
      </w:r>
      <w:r>
        <w:rPr>
          <w:rFonts w:ascii="Times New Roman" w:hAnsi="Times New Roman" w:cs="Times New Roman"/>
          <w:bCs/>
          <w:sz w:val="24"/>
        </w:rPr>
        <w:t>(G1).</w:t>
      </w:r>
    </w:p>
    <w:p w14:paraId="67B98DAA"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Chapin III, F. S., </w:t>
      </w:r>
      <w:proofErr w:type="spellStart"/>
      <w:r>
        <w:rPr>
          <w:rFonts w:ascii="Times New Roman" w:hAnsi="Times New Roman" w:cs="Times New Roman"/>
          <w:bCs/>
          <w:sz w:val="24"/>
        </w:rPr>
        <w:t>Woodwell</w:t>
      </w:r>
      <w:proofErr w:type="spellEnd"/>
      <w:r>
        <w:rPr>
          <w:rFonts w:ascii="Times New Roman" w:hAnsi="Times New Roman" w:cs="Times New Roman"/>
          <w:bCs/>
          <w:sz w:val="24"/>
        </w:rPr>
        <w:t xml:space="preserve">, G. M., Randerson, J. T., </w:t>
      </w:r>
      <w:proofErr w:type="spellStart"/>
      <w:r>
        <w:rPr>
          <w:rFonts w:ascii="Times New Roman" w:hAnsi="Times New Roman" w:cs="Times New Roman"/>
          <w:bCs/>
          <w:sz w:val="24"/>
        </w:rPr>
        <w:t>Rastetter</w:t>
      </w:r>
      <w:proofErr w:type="spellEnd"/>
      <w:r>
        <w:rPr>
          <w:rFonts w:ascii="Times New Roman" w:hAnsi="Times New Roman" w:cs="Times New Roman"/>
          <w:bCs/>
          <w:sz w:val="24"/>
        </w:rPr>
        <w:t xml:space="preserve">, E. B., Lovett, G. M., </w:t>
      </w:r>
      <w:proofErr w:type="spellStart"/>
      <w:r>
        <w:rPr>
          <w:rFonts w:ascii="Times New Roman" w:hAnsi="Times New Roman" w:cs="Times New Roman"/>
          <w:bCs/>
          <w:sz w:val="24"/>
        </w:rPr>
        <w:t>Baldocchi</w:t>
      </w:r>
      <w:proofErr w:type="spellEnd"/>
      <w:r>
        <w:rPr>
          <w:rFonts w:ascii="Times New Roman" w:hAnsi="Times New Roman" w:cs="Times New Roman"/>
          <w:bCs/>
          <w:sz w:val="24"/>
        </w:rPr>
        <w:t xml:space="preserve">, D. D., Clark, D. A., Harmon, M. E., Schimel, D. S., </w:t>
      </w:r>
      <w:proofErr w:type="spellStart"/>
      <w:r>
        <w:rPr>
          <w:rFonts w:ascii="Times New Roman" w:hAnsi="Times New Roman" w:cs="Times New Roman"/>
          <w:bCs/>
          <w:sz w:val="24"/>
        </w:rPr>
        <w:t>Valentini</w:t>
      </w:r>
      <w:proofErr w:type="spellEnd"/>
      <w:r>
        <w:rPr>
          <w:rFonts w:ascii="Times New Roman" w:hAnsi="Times New Roman" w:cs="Times New Roman"/>
          <w:bCs/>
          <w:sz w:val="24"/>
        </w:rPr>
        <w:t xml:space="preserve">, R., Wirth, C., Aber, J. D., Cole, J. J., </w:t>
      </w:r>
      <w:proofErr w:type="spellStart"/>
      <w:r>
        <w:rPr>
          <w:rFonts w:ascii="Times New Roman" w:hAnsi="Times New Roman" w:cs="Times New Roman"/>
          <w:bCs/>
          <w:sz w:val="24"/>
        </w:rPr>
        <w:t>Goulden</w:t>
      </w:r>
      <w:proofErr w:type="spellEnd"/>
      <w:r>
        <w:rPr>
          <w:rFonts w:ascii="Times New Roman" w:hAnsi="Times New Roman" w:cs="Times New Roman"/>
          <w:bCs/>
          <w:sz w:val="24"/>
        </w:rPr>
        <w:t xml:space="preserve">, M. L., Harden, J. W., </w:t>
      </w:r>
      <w:proofErr w:type="spellStart"/>
      <w:r>
        <w:rPr>
          <w:rFonts w:ascii="Times New Roman" w:hAnsi="Times New Roman" w:cs="Times New Roman"/>
          <w:bCs/>
          <w:sz w:val="24"/>
        </w:rPr>
        <w:t>Heimann</w:t>
      </w:r>
      <w:proofErr w:type="spellEnd"/>
      <w:r>
        <w:rPr>
          <w:rFonts w:ascii="Times New Roman" w:hAnsi="Times New Roman" w:cs="Times New Roman"/>
          <w:bCs/>
          <w:sz w:val="24"/>
        </w:rPr>
        <w:t>, M., Howarth, R. W., Matson, P. A.,       McGuire, A. D., Melillo, J. M., Mooney, H. A., Neff, J. C., Houghton, R. A., Pace, M. L., Ryan, M. G., Running, S. W., Sala, O. E., Schlesinger, W. H, and Schulze, E. D. (2006). Reconciling carbon-cycle concepts, terminology, and methods. </w:t>
      </w:r>
      <w:r>
        <w:rPr>
          <w:rFonts w:ascii="Times New Roman" w:hAnsi="Times New Roman" w:cs="Times New Roman"/>
          <w:bCs/>
          <w:i/>
          <w:iCs/>
          <w:sz w:val="24"/>
        </w:rPr>
        <w:t>Ecosystems</w:t>
      </w:r>
      <w:r>
        <w:rPr>
          <w:rFonts w:ascii="Times New Roman" w:hAnsi="Times New Roman" w:cs="Times New Roman"/>
          <w:bCs/>
          <w:sz w:val="24"/>
        </w:rPr>
        <w:t>, </w:t>
      </w:r>
      <w:r>
        <w:rPr>
          <w:rFonts w:ascii="Times New Roman" w:hAnsi="Times New Roman" w:cs="Times New Roman"/>
          <w:bCs/>
          <w:i/>
          <w:iCs/>
          <w:sz w:val="24"/>
        </w:rPr>
        <w:t>9</w:t>
      </w:r>
      <w:r>
        <w:rPr>
          <w:rFonts w:ascii="Times New Roman" w:hAnsi="Times New Roman" w:cs="Times New Roman"/>
          <w:bCs/>
          <w:sz w:val="24"/>
        </w:rPr>
        <w:t>(7), 1041-1050.</w:t>
      </w:r>
    </w:p>
    <w:p w14:paraId="6D4CA04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Cohen, W. B., </w:t>
      </w:r>
      <w:proofErr w:type="spellStart"/>
      <w:r>
        <w:rPr>
          <w:rFonts w:ascii="Times New Roman" w:hAnsi="Times New Roman" w:cs="Times New Roman"/>
          <w:bCs/>
          <w:sz w:val="24"/>
        </w:rPr>
        <w:t>Maiersperger</w:t>
      </w:r>
      <w:proofErr w:type="spellEnd"/>
      <w:r>
        <w:rPr>
          <w:rFonts w:ascii="Times New Roman" w:hAnsi="Times New Roman" w:cs="Times New Roman"/>
          <w:bCs/>
          <w:sz w:val="24"/>
        </w:rPr>
        <w:t xml:space="preserve">, T. K., 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w:t>
      </w:r>
      <w:proofErr w:type="spellStart"/>
      <w:r>
        <w:rPr>
          <w:rFonts w:ascii="Times New Roman" w:hAnsi="Times New Roman" w:cs="Times New Roman"/>
          <w:bCs/>
          <w:sz w:val="24"/>
        </w:rPr>
        <w:t>Pflugmacher</w:t>
      </w:r>
      <w:proofErr w:type="spellEnd"/>
      <w:r>
        <w:rPr>
          <w:rFonts w:ascii="Times New Roman" w:hAnsi="Times New Roman" w:cs="Times New Roman"/>
          <w:bCs/>
          <w:sz w:val="24"/>
        </w:rPr>
        <w:t xml:space="preserve">, D., Kennedy, R. E., </w:t>
      </w:r>
      <w:proofErr w:type="spellStart"/>
      <w:r>
        <w:rPr>
          <w:rFonts w:ascii="Times New Roman" w:hAnsi="Times New Roman" w:cs="Times New Roman"/>
          <w:bCs/>
          <w:sz w:val="24"/>
        </w:rPr>
        <w:t>Kirschbaum</w:t>
      </w:r>
      <w:proofErr w:type="spellEnd"/>
      <w:r>
        <w:rPr>
          <w:rFonts w:ascii="Times New Roman" w:hAnsi="Times New Roman" w:cs="Times New Roman"/>
          <w:bCs/>
          <w:sz w:val="24"/>
        </w:rPr>
        <w:t xml:space="preserve">, A., Running, S. W., Costas, M., and Gower, S. T. (2006). MODIS land cover and LAI collection 4 product quality across nine sites in the western hemisphere. </w:t>
      </w:r>
      <w:r>
        <w:rPr>
          <w:rFonts w:ascii="Times New Roman" w:hAnsi="Times New Roman" w:cs="Times New Roman"/>
          <w:bCs/>
          <w:i/>
          <w:iCs/>
          <w:sz w:val="24"/>
        </w:rPr>
        <w:t>Geoscience and Remote Sensing, IEEE Transactions on</w:t>
      </w:r>
      <w:r>
        <w:rPr>
          <w:rFonts w:ascii="Times New Roman" w:hAnsi="Times New Roman" w:cs="Times New Roman"/>
          <w:bCs/>
          <w:sz w:val="24"/>
        </w:rPr>
        <w:t>, </w:t>
      </w:r>
      <w:r>
        <w:rPr>
          <w:rFonts w:ascii="Times New Roman" w:hAnsi="Times New Roman" w:cs="Times New Roman"/>
          <w:bCs/>
          <w:i/>
          <w:iCs/>
          <w:sz w:val="24"/>
        </w:rPr>
        <w:t>44</w:t>
      </w:r>
      <w:r>
        <w:rPr>
          <w:rFonts w:ascii="Times New Roman" w:hAnsi="Times New Roman" w:cs="Times New Roman"/>
          <w:bCs/>
          <w:sz w:val="24"/>
        </w:rPr>
        <w:t>(7), 1843-1857.</w:t>
      </w:r>
    </w:p>
    <w:p w14:paraId="19A66E6B"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Heinsch</w:t>
      </w:r>
      <w:proofErr w:type="spellEnd"/>
      <w:r>
        <w:rPr>
          <w:rFonts w:ascii="Times New Roman" w:hAnsi="Times New Roman" w:cs="Times New Roman"/>
          <w:bCs/>
          <w:sz w:val="24"/>
        </w:rPr>
        <w:t xml:space="preserve">, F. A., Zhao, M., Running, S. W., Kimball, J. S.,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R., Davis, K. J., </w:t>
      </w:r>
      <w:proofErr w:type="spellStart"/>
      <w:r>
        <w:rPr>
          <w:rFonts w:ascii="Times New Roman" w:hAnsi="Times New Roman" w:cs="Times New Roman"/>
          <w:bCs/>
          <w:sz w:val="24"/>
        </w:rPr>
        <w:t>Bolstad</w:t>
      </w:r>
      <w:proofErr w:type="spellEnd"/>
      <w:r>
        <w:rPr>
          <w:rFonts w:ascii="Times New Roman" w:hAnsi="Times New Roman" w:cs="Times New Roman"/>
          <w:bCs/>
          <w:sz w:val="24"/>
        </w:rPr>
        <w:t xml:space="preserve">, P. V., Cook, B. D., Desai, A. R., </w:t>
      </w:r>
      <w:proofErr w:type="spellStart"/>
      <w:r>
        <w:rPr>
          <w:rFonts w:ascii="Times New Roman" w:hAnsi="Times New Roman" w:cs="Times New Roman"/>
          <w:bCs/>
          <w:sz w:val="24"/>
        </w:rPr>
        <w:t>Ricciuto</w:t>
      </w:r>
      <w:proofErr w:type="spellEnd"/>
      <w:r>
        <w:rPr>
          <w:rFonts w:ascii="Times New Roman" w:hAnsi="Times New Roman" w:cs="Times New Roman"/>
          <w:bCs/>
          <w:sz w:val="24"/>
        </w:rPr>
        <w:t xml:space="preserve">, D. M., Law, B. E., </w:t>
      </w:r>
      <w:proofErr w:type="spellStart"/>
      <w:r>
        <w:rPr>
          <w:rFonts w:ascii="Times New Roman" w:hAnsi="Times New Roman" w:cs="Times New Roman"/>
          <w:bCs/>
          <w:sz w:val="24"/>
        </w:rPr>
        <w:t>Oechel</w:t>
      </w:r>
      <w:proofErr w:type="spellEnd"/>
      <w:r>
        <w:rPr>
          <w:rFonts w:ascii="Times New Roman" w:hAnsi="Times New Roman" w:cs="Times New Roman"/>
          <w:bCs/>
          <w:sz w:val="24"/>
        </w:rPr>
        <w:t xml:space="preserve">, W. C., Kwon, H., Luo, H., </w:t>
      </w:r>
      <w:proofErr w:type="spellStart"/>
      <w:r>
        <w:rPr>
          <w:rFonts w:ascii="Times New Roman" w:hAnsi="Times New Roman" w:cs="Times New Roman"/>
          <w:bCs/>
          <w:sz w:val="24"/>
        </w:rPr>
        <w:t>Wofsy</w:t>
      </w:r>
      <w:proofErr w:type="spellEnd"/>
      <w:r>
        <w:rPr>
          <w:rFonts w:ascii="Times New Roman" w:hAnsi="Times New Roman" w:cs="Times New Roman"/>
          <w:bCs/>
          <w:sz w:val="24"/>
        </w:rPr>
        <w:t xml:space="preserve">, S. C., Dunn, A. L., Munger, J. W., </w:t>
      </w:r>
      <w:proofErr w:type="spellStart"/>
      <w:r>
        <w:rPr>
          <w:rFonts w:ascii="Times New Roman" w:hAnsi="Times New Roman" w:cs="Times New Roman"/>
          <w:bCs/>
          <w:sz w:val="24"/>
        </w:rPr>
        <w:t>Baldocchi</w:t>
      </w:r>
      <w:proofErr w:type="spellEnd"/>
      <w:r>
        <w:rPr>
          <w:rFonts w:ascii="Times New Roman" w:hAnsi="Times New Roman" w:cs="Times New Roman"/>
          <w:bCs/>
          <w:sz w:val="24"/>
        </w:rPr>
        <w:t xml:space="preserve">, D. D., Xu, L., Hollinger, D. Y., Richardson, A. D., </w:t>
      </w:r>
      <w:proofErr w:type="spellStart"/>
      <w:r>
        <w:rPr>
          <w:rFonts w:ascii="Times New Roman" w:hAnsi="Times New Roman" w:cs="Times New Roman"/>
          <w:bCs/>
          <w:sz w:val="24"/>
        </w:rPr>
        <w:t>Stoy</w:t>
      </w:r>
      <w:proofErr w:type="spellEnd"/>
      <w:r>
        <w:rPr>
          <w:rFonts w:ascii="Times New Roman" w:hAnsi="Times New Roman" w:cs="Times New Roman"/>
          <w:bCs/>
          <w:sz w:val="24"/>
        </w:rPr>
        <w:t xml:space="preserve">, P. C., Siqueira, M. B. S., Monson, R. K., Burns, S.P, and Flanagan, L. B. (2006). Evaluation of Remote Sensing Based Terrestrial Productivity from MODIS Using Regional Tower Eddy Flux Network Observations.  </w:t>
      </w:r>
      <w:r>
        <w:rPr>
          <w:rFonts w:ascii="Times New Roman" w:hAnsi="Times New Roman" w:cs="Times New Roman"/>
          <w:bCs/>
          <w:i/>
          <w:sz w:val="24"/>
        </w:rPr>
        <w:t>IEEE Transactions on Geoscience and Remote Sensing</w:t>
      </w:r>
      <w:r>
        <w:rPr>
          <w:rFonts w:ascii="Times New Roman" w:hAnsi="Times New Roman" w:cs="Times New Roman"/>
          <w:bCs/>
          <w:sz w:val="24"/>
        </w:rPr>
        <w:t xml:space="preserve">, </w:t>
      </w:r>
      <w:r>
        <w:rPr>
          <w:rFonts w:ascii="Times New Roman" w:hAnsi="Times New Roman" w:cs="Times New Roman"/>
          <w:bCs/>
          <w:i/>
          <w:sz w:val="24"/>
        </w:rPr>
        <w:t>44</w:t>
      </w:r>
      <w:r>
        <w:rPr>
          <w:rFonts w:ascii="Times New Roman" w:hAnsi="Times New Roman" w:cs="Times New Roman"/>
          <w:bCs/>
          <w:sz w:val="24"/>
        </w:rPr>
        <w:t>(7), 1908-1925.</w:t>
      </w:r>
    </w:p>
    <w:p w14:paraId="4E8352D2"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Kang, S., Kimball, J. S., and Running, S. W. (2006). Simulating effects of fire disturbance and climate change on boreal forest productivity and evapotranspiration. </w:t>
      </w:r>
      <w:r>
        <w:rPr>
          <w:rFonts w:ascii="Times New Roman" w:hAnsi="Times New Roman" w:cs="Times New Roman"/>
          <w:bCs/>
          <w:i/>
          <w:iCs/>
          <w:sz w:val="24"/>
        </w:rPr>
        <w:t>Science of the Total Environment</w:t>
      </w:r>
      <w:r>
        <w:rPr>
          <w:rFonts w:ascii="Times New Roman" w:hAnsi="Times New Roman" w:cs="Times New Roman"/>
          <w:bCs/>
          <w:sz w:val="24"/>
        </w:rPr>
        <w:t>, </w:t>
      </w:r>
      <w:r>
        <w:rPr>
          <w:rFonts w:ascii="Times New Roman" w:hAnsi="Times New Roman" w:cs="Times New Roman"/>
          <w:bCs/>
          <w:i/>
          <w:iCs/>
          <w:sz w:val="24"/>
        </w:rPr>
        <w:t>362</w:t>
      </w:r>
      <w:r>
        <w:rPr>
          <w:rFonts w:ascii="Times New Roman" w:hAnsi="Times New Roman" w:cs="Times New Roman"/>
          <w:bCs/>
          <w:sz w:val="24"/>
        </w:rPr>
        <w:t xml:space="preserve">(1), 85-102. </w:t>
      </w:r>
    </w:p>
    <w:p w14:paraId="6AE2FF89"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lastRenderedPageBreak/>
        <w:t>Kimball, J. S., Zhao, M., McDonald, K. C., and Running, S. W. (2006). Satellite remote sensing of terrestrial net primary production for the pan-Arctic basin and Alaska. </w:t>
      </w:r>
      <w:r>
        <w:rPr>
          <w:rFonts w:ascii="Times New Roman" w:hAnsi="Times New Roman" w:cs="Times New Roman"/>
          <w:bCs/>
          <w:i/>
          <w:iCs/>
          <w:sz w:val="24"/>
        </w:rPr>
        <w:t>Mitigation and Adaptation Strategies for Global Change</w:t>
      </w:r>
      <w:r>
        <w:rPr>
          <w:rFonts w:ascii="Times New Roman" w:hAnsi="Times New Roman" w:cs="Times New Roman"/>
          <w:bCs/>
          <w:sz w:val="24"/>
        </w:rPr>
        <w:t>, </w:t>
      </w:r>
      <w:r>
        <w:rPr>
          <w:rFonts w:ascii="Times New Roman" w:hAnsi="Times New Roman" w:cs="Times New Roman"/>
          <w:bCs/>
          <w:i/>
          <w:iCs/>
          <w:sz w:val="24"/>
        </w:rPr>
        <w:t>11</w:t>
      </w:r>
      <w:r>
        <w:rPr>
          <w:rFonts w:ascii="Times New Roman" w:hAnsi="Times New Roman" w:cs="Times New Roman"/>
          <w:bCs/>
          <w:sz w:val="24"/>
        </w:rPr>
        <w:t xml:space="preserve">(4), 783-804. </w:t>
      </w:r>
    </w:p>
    <w:p w14:paraId="5CA76AE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Liang, S., Zheng, T., Liu, R., Fang, H., </w:t>
      </w:r>
      <w:proofErr w:type="spellStart"/>
      <w:r>
        <w:rPr>
          <w:rFonts w:ascii="Times New Roman" w:hAnsi="Times New Roman" w:cs="Times New Roman"/>
          <w:bCs/>
          <w:sz w:val="24"/>
        </w:rPr>
        <w:t>Tsay</w:t>
      </w:r>
      <w:proofErr w:type="spellEnd"/>
      <w:r>
        <w:rPr>
          <w:rFonts w:ascii="Times New Roman" w:hAnsi="Times New Roman" w:cs="Times New Roman"/>
          <w:bCs/>
          <w:sz w:val="24"/>
        </w:rPr>
        <w:t>, S. C., &amp; Running, S. (2006). Estimation of incident photosynthetically active radiation from Moderate Resolution Imaging Spectrometer data. </w:t>
      </w:r>
      <w:r>
        <w:rPr>
          <w:rFonts w:ascii="Times New Roman" w:hAnsi="Times New Roman" w:cs="Times New Roman"/>
          <w:bCs/>
          <w:i/>
          <w:iCs/>
          <w:sz w:val="24"/>
        </w:rPr>
        <w:t>Journal of Geophysical Research: Atmospheres, 111</w:t>
      </w:r>
      <w:r>
        <w:rPr>
          <w:rFonts w:ascii="Times New Roman" w:hAnsi="Times New Roman" w:cs="Times New Roman"/>
          <w:bCs/>
          <w:sz w:val="24"/>
        </w:rPr>
        <w:t>(D15).</w:t>
      </w:r>
    </w:p>
    <w:p w14:paraId="60FFEDEB"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Reeves, M. C., Zhao, M., Running, S. W. (2006). Applying Improved Estimates of MODIS Productivity to Characterize Grassland Vegetation Dynamics. </w:t>
      </w:r>
      <w:r>
        <w:rPr>
          <w:rFonts w:ascii="Times New Roman" w:hAnsi="Times New Roman" w:cs="Times New Roman"/>
          <w:bCs/>
          <w:i/>
          <w:sz w:val="24"/>
        </w:rPr>
        <w:t>Rangeland Ecology and Management</w:t>
      </w:r>
      <w:r>
        <w:rPr>
          <w:rFonts w:ascii="Times New Roman" w:hAnsi="Times New Roman" w:cs="Times New Roman"/>
          <w:bCs/>
          <w:sz w:val="24"/>
        </w:rPr>
        <w:t xml:space="preserve">, </w:t>
      </w:r>
      <w:r>
        <w:rPr>
          <w:rFonts w:ascii="Times New Roman" w:hAnsi="Times New Roman" w:cs="Times New Roman"/>
          <w:bCs/>
          <w:i/>
          <w:sz w:val="24"/>
        </w:rPr>
        <w:t>59</w:t>
      </w:r>
      <w:r>
        <w:rPr>
          <w:rFonts w:ascii="Times New Roman" w:hAnsi="Times New Roman" w:cs="Times New Roman"/>
          <w:bCs/>
          <w:sz w:val="24"/>
        </w:rPr>
        <w:t xml:space="preserve">(1), 1-10. </w:t>
      </w:r>
    </w:p>
    <w:p w14:paraId="1EFAAE7B"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Cohen, W. B., Gower, S. T., Running, S. W., Zhao, M., Costa, M. H., </w:t>
      </w:r>
      <w:proofErr w:type="spellStart"/>
      <w:r>
        <w:rPr>
          <w:rFonts w:ascii="Times New Roman" w:hAnsi="Times New Roman" w:cs="Times New Roman"/>
          <w:bCs/>
          <w:sz w:val="24"/>
        </w:rPr>
        <w:t>Kirschbaum</w:t>
      </w:r>
      <w:proofErr w:type="spellEnd"/>
      <w:r>
        <w:rPr>
          <w:rFonts w:ascii="Times New Roman" w:hAnsi="Times New Roman" w:cs="Times New Roman"/>
          <w:bCs/>
          <w:sz w:val="24"/>
        </w:rPr>
        <w:t xml:space="preserve">, A. A., Ham, J. M., </w:t>
      </w:r>
      <w:proofErr w:type="spellStart"/>
      <w:r>
        <w:rPr>
          <w:rFonts w:ascii="Times New Roman" w:hAnsi="Times New Roman" w:cs="Times New Roman"/>
          <w:bCs/>
          <w:sz w:val="24"/>
        </w:rPr>
        <w:t>Saleska</w:t>
      </w:r>
      <w:proofErr w:type="spellEnd"/>
      <w:r>
        <w:rPr>
          <w:rFonts w:ascii="Times New Roman" w:hAnsi="Times New Roman" w:cs="Times New Roman"/>
          <w:bCs/>
          <w:sz w:val="24"/>
        </w:rPr>
        <w:t>, S. R., and Ahl, D. E. (2006). Evaluation of MODIS NPP and GPP products across multiple biomes.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102</w:t>
      </w:r>
      <w:r>
        <w:rPr>
          <w:rFonts w:ascii="Times New Roman" w:hAnsi="Times New Roman" w:cs="Times New Roman"/>
          <w:bCs/>
          <w:sz w:val="24"/>
        </w:rPr>
        <w:t>(3), 282-292.</w:t>
      </w:r>
    </w:p>
    <w:p w14:paraId="4D5FF04D"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Zhao, M., </w:t>
      </w:r>
      <w:proofErr w:type="spellStart"/>
      <w:r>
        <w:rPr>
          <w:rFonts w:ascii="Times New Roman" w:hAnsi="Times New Roman" w:cs="Times New Roman"/>
          <w:bCs/>
          <w:sz w:val="24"/>
        </w:rPr>
        <w:t>Kurc</w:t>
      </w:r>
      <w:proofErr w:type="spellEnd"/>
      <w:r>
        <w:rPr>
          <w:rFonts w:ascii="Times New Roman" w:hAnsi="Times New Roman" w:cs="Times New Roman"/>
          <w:bCs/>
          <w:sz w:val="24"/>
        </w:rPr>
        <w:t xml:space="preserve">, S., Dunn, A. L., </w:t>
      </w:r>
      <w:proofErr w:type="spellStart"/>
      <w:r>
        <w:rPr>
          <w:rFonts w:ascii="Times New Roman" w:hAnsi="Times New Roman" w:cs="Times New Roman"/>
          <w:bCs/>
          <w:sz w:val="24"/>
        </w:rPr>
        <w:t>Wofsy</w:t>
      </w:r>
      <w:proofErr w:type="spellEnd"/>
      <w:r>
        <w:rPr>
          <w:rFonts w:ascii="Times New Roman" w:hAnsi="Times New Roman" w:cs="Times New Roman"/>
          <w:bCs/>
          <w:sz w:val="24"/>
        </w:rPr>
        <w:t>, S. C, Small, E.E., and Running, S. W. (2006). Assessing interannual variation in MODIS-based estimates of gross primary production. </w:t>
      </w:r>
      <w:r>
        <w:rPr>
          <w:rFonts w:ascii="Times New Roman" w:hAnsi="Times New Roman" w:cs="Times New Roman"/>
          <w:bCs/>
          <w:i/>
          <w:iCs/>
          <w:sz w:val="24"/>
        </w:rPr>
        <w:t>Geoscience and Remote Sensing, IEEE Transactions on</w:t>
      </w:r>
      <w:r>
        <w:rPr>
          <w:rFonts w:ascii="Times New Roman" w:hAnsi="Times New Roman" w:cs="Times New Roman"/>
          <w:bCs/>
          <w:sz w:val="24"/>
        </w:rPr>
        <w:t>, </w:t>
      </w:r>
      <w:r>
        <w:rPr>
          <w:rFonts w:ascii="Times New Roman" w:hAnsi="Times New Roman" w:cs="Times New Roman"/>
          <w:bCs/>
          <w:i/>
          <w:iCs/>
          <w:sz w:val="24"/>
        </w:rPr>
        <w:t>44</w:t>
      </w:r>
      <w:r>
        <w:rPr>
          <w:rFonts w:ascii="Times New Roman" w:hAnsi="Times New Roman" w:cs="Times New Roman"/>
          <w:bCs/>
          <w:sz w:val="24"/>
        </w:rPr>
        <w:t>(7), 1899-1907.</w:t>
      </w:r>
    </w:p>
    <w:p w14:paraId="1295EAC1"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White, J. D., Scott, N. A., Hirsch, A.L., and Running, S. W. (2006). 3-PG Productivity Modeling of Regeneration Amazon Forests: Climate Sensitivity and Comparison with MODIS-Derived NPP. </w:t>
      </w:r>
      <w:r>
        <w:rPr>
          <w:rFonts w:ascii="Times New Roman" w:hAnsi="Times New Roman" w:cs="Times New Roman"/>
          <w:bCs/>
          <w:i/>
          <w:sz w:val="24"/>
        </w:rPr>
        <w:t>Earth Interactions</w:t>
      </w:r>
      <w:r>
        <w:rPr>
          <w:rFonts w:ascii="Times New Roman" w:hAnsi="Times New Roman" w:cs="Times New Roman"/>
          <w:bCs/>
          <w:sz w:val="24"/>
        </w:rPr>
        <w:t xml:space="preserve">, </w:t>
      </w:r>
      <w:r>
        <w:rPr>
          <w:rFonts w:ascii="Times New Roman" w:hAnsi="Times New Roman" w:cs="Times New Roman"/>
          <w:bCs/>
          <w:i/>
          <w:sz w:val="24"/>
        </w:rPr>
        <w:t>10</w:t>
      </w:r>
      <w:r>
        <w:rPr>
          <w:rFonts w:ascii="Times New Roman" w:hAnsi="Times New Roman" w:cs="Times New Roman"/>
          <w:bCs/>
          <w:sz w:val="24"/>
        </w:rPr>
        <w:t>(0), 1-26.</w:t>
      </w:r>
    </w:p>
    <w:p w14:paraId="2934C5BA"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Zhao, M.,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R. (2006). Sensitivity of Moderate Resolution Imaging Spectroradiometer (MODIS) terrestrial primary production to the accuracy of meteorological </w:t>
      </w:r>
      <w:proofErr w:type="spellStart"/>
      <w:r>
        <w:rPr>
          <w:rFonts w:ascii="Times New Roman" w:hAnsi="Times New Roman" w:cs="Times New Roman"/>
          <w:bCs/>
          <w:sz w:val="24"/>
        </w:rPr>
        <w:t>reanalyses</w:t>
      </w:r>
      <w:proofErr w:type="spellEnd"/>
      <w:r>
        <w:rPr>
          <w:rFonts w:ascii="Times New Roman" w:hAnsi="Times New Roman" w:cs="Times New Roman"/>
          <w:bCs/>
          <w:sz w:val="24"/>
        </w:rPr>
        <w:t>. </w:t>
      </w:r>
      <w:r>
        <w:rPr>
          <w:rFonts w:ascii="Times New Roman" w:hAnsi="Times New Roman" w:cs="Times New Roman"/>
          <w:bCs/>
          <w:i/>
          <w:iCs/>
          <w:sz w:val="24"/>
        </w:rPr>
        <w:t xml:space="preserve">Journal of Geophysical Research: </w:t>
      </w:r>
      <w:proofErr w:type="spellStart"/>
      <w:r>
        <w:rPr>
          <w:rFonts w:ascii="Times New Roman" w:hAnsi="Times New Roman" w:cs="Times New Roman"/>
          <w:bCs/>
          <w:i/>
          <w:iCs/>
          <w:sz w:val="24"/>
        </w:rPr>
        <w:t>Biogeosciences</w:t>
      </w:r>
      <w:proofErr w:type="spellEnd"/>
      <w:r>
        <w:rPr>
          <w:rFonts w:ascii="Times New Roman" w:hAnsi="Times New Roman" w:cs="Times New Roman"/>
          <w:bCs/>
          <w:i/>
          <w:iCs/>
          <w:sz w:val="24"/>
        </w:rPr>
        <w:t>, 111</w:t>
      </w:r>
      <w:r>
        <w:rPr>
          <w:rFonts w:ascii="Times New Roman" w:hAnsi="Times New Roman" w:cs="Times New Roman"/>
          <w:bCs/>
          <w:sz w:val="24"/>
        </w:rPr>
        <w:t>(G1).</w:t>
      </w:r>
    </w:p>
    <w:p w14:paraId="49820051"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Kang, S., Running, S. W., Zhao, M., Kimball, J. S., and Glassy, J. (2005). Improving continuity of MODIS terrestrial photosynthesis products using an interpolation scheme for cloudy pixels. </w:t>
      </w:r>
      <w:r>
        <w:rPr>
          <w:rFonts w:ascii="Times New Roman" w:hAnsi="Times New Roman" w:cs="Times New Roman"/>
          <w:bCs/>
          <w:i/>
          <w:iCs/>
          <w:sz w:val="24"/>
        </w:rPr>
        <w:t>International Journal of Remote Sensing</w:t>
      </w:r>
      <w:r>
        <w:rPr>
          <w:rFonts w:ascii="Times New Roman" w:hAnsi="Times New Roman" w:cs="Times New Roman"/>
          <w:bCs/>
          <w:sz w:val="24"/>
        </w:rPr>
        <w:t>, </w:t>
      </w:r>
      <w:r>
        <w:rPr>
          <w:rFonts w:ascii="Times New Roman" w:hAnsi="Times New Roman" w:cs="Times New Roman"/>
          <w:bCs/>
          <w:i/>
          <w:iCs/>
          <w:sz w:val="24"/>
        </w:rPr>
        <w:t>26</w:t>
      </w:r>
      <w:r>
        <w:rPr>
          <w:rFonts w:ascii="Times New Roman" w:hAnsi="Times New Roman" w:cs="Times New Roman"/>
          <w:bCs/>
          <w:sz w:val="24"/>
        </w:rPr>
        <w:t xml:space="preserve">(8), 1659-1676. </w:t>
      </w:r>
    </w:p>
    <w:p w14:paraId="0247AAEA"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Milesi</w:t>
      </w:r>
      <w:proofErr w:type="spellEnd"/>
      <w:r>
        <w:rPr>
          <w:rFonts w:ascii="Times New Roman" w:hAnsi="Times New Roman" w:cs="Times New Roman"/>
          <w:bCs/>
          <w:sz w:val="24"/>
        </w:rPr>
        <w:t xml:space="preserve">, C., Hashimoto, H.,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R. R. (2005). Climate variability, vegetation productivity and people at risk. </w:t>
      </w:r>
      <w:r>
        <w:rPr>
          <w:rFonts w:ascii="Times New Roman" w:hAnsi="Times New Roman" w:cs="Times New Roman"/>
          <w:bCs/>
          <w:i/>
          <w:iCs/>
          <w:sz w:val="24"/>
        </w:rPr>
        <w:t>Global and Planetary Change</w:t>
      </w:r>
      <w:r>
        <w:rPr>
          <w:rFonts w:ascii="Times New Roman" w:hAnsi="Times New Roman" w:cs="Times New Roman"/>
          <w:bCs/>
          <w:sz w:val="24"/>
        </w:rPr>
        <w:t>, </w:t>
      </w:r>
      <w:r>
        <w:rPr>
          <w:rFonts w:ascii="Times New Roman" w:hAnsi="Times New Roman" w:cs="Times New Roman"/>
          <w:bCs/>
          <w:i/>
          <w:iCs/>
          <w:sz w:val="24"/>
        </w:rPr>
        <w:t>47</w:t>
      </w:r>
      <w:r>
        <w:rPr>
          <w:rFonts w:ascii="Times New Roman" w:hAnsi="Times New Roman" w:cs="Times New Roman"/>
          <w:bCs/>
          <w:sz w:val="24"/>
        </w:rPr>
        <w:t>(2), 221-231</w:t>
      </w:r>
    </w:p>
    <w:p w14:paraId="0130C9F1"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Martel, M. C., Margolis, H. A., </w:t>
      </w:r>
      <w:proofErr w:type="spellStart"/>
      <w:r>
        <w:rPr>
          <w:rFonts w:ascii="Times New Roman" w:hAnsi="Times New Roman" w:cs="Times New Roman"/>
          <w:bCs/>
          <w:sz w:val="24"/>
        </w:rPr>
        <w:t>Coursolle</w:t>
      </w:r>
      <w:proofErr w:type="spellEnd"/>
      <w:r>
        <w:rPr>
          <w:rFonts w:ascii="Times New Roman" w:hAnsi="Times New Roman" w:cs="Times New Roman"/>
          <w:bCs/>
          <w:sz w:val="24"/>
        </w:rPr>
        <w:t xml:space="preserve">, C., </w:t>
      </w:r>
      <w:proofErr w:type="spellStart"/>
      <w:r>
        <w:rPr>
          <w:rFonts w:ascii="Times New Roman" w:hAnsi="Times New Roman" w:cs="Times New Roman"/>
          <w:bCs/>
          <w:sz w:val="24"/>
        </w:rPr>
        <w:t>Bigras</w:t>
      </w:r>
      <w:proofErr w:type="spellEnd"/>
      <w:r>
        <w:rPr>
          <w:rFonts w:ascii="Times New Roman" w:hAnsi="Times New Roman" w:cs="Times New Roman"/>
          <w:bCs/>
          <w:sz w:val="24"/>
        </w:rPr>
        <w:t xml:space="preserve">, F. J., </w:t>
      </w:r>
      <w:proofErr w:type="spellStart"/>
      <w:r>
        <w:rPr>
          <w:rFonts w:ascii="Times New Roman" w:hAnsi="Times New Roman" w:cs="Times New Roman"/>
          <w:bCs/>
          <w:sz w:val="24"/>
        </w:rPr>
        <w:t>Heinsch</w:t>
      </w:r>
      <w:proofErr w:type="spellEnd"/>
      <w:r>
        <w:rPr>
          <w:rFonts w:ascii="Times New Roman" w:hAnsi="Times New Roman" w:cs="Times New Roman"/>
          <w:bCs/>
          <w:sz w:val="24"/>
        </w:rPr>
        <w:t>, F. A., and Running, S. W. (2005). Decreasing photosynthesis at different spatial scales during the late growing season on a boreal cutover. </w:t>
      </w:r>
      <w:r>
        <w:rPr>
          <w:rFonts w:ascii="Times New Roman" w:hAnsi="Times New Roman" w:cs="Times New Roman"/>
          <w:bCs/>
          <w:i/>
          <w:iCs/>
          <w:sz w:val="24"/>
        </w:rPr>
        <w:t>Tree Physiology</w:t>
      </w:r>
      <w:r>
        <w:rPr>
          <w:rFonts w:ascii="Times New Roman" w:hAnsi="Times New Roman" w:cs="Times New Roman"/>
          <w:bCs/>
          <w:sz w:val="24"/>
        </w:rPr>
        <w:t>, </w:t>
      </w:r>
      <w:r>
        <w:rPr>
          <w:rFonts w:ascii="Times New Roman" w:hAnsi="Times New Roman" w:cs="Times New Roman"/>
          <w:bCs/>
          <w:i/>
          <w:iCs/>
          <w:sz w:val="24"/>
        </w:rPr>
        <w:t>25</w:t>
      </w:r>
      <w:r>
        <w:rPr>
          <w:rFonts w:ascii="Times New Roman" w:hAnsi="Times New Roman" w:cs="Times New Roman"/>
          <w:bCs/>
          <w:sz w:val="24"/>
        </w:rPr>
        <w:t>(6), 689-699.</w:t>
      </w:r>
    </w:p>
    <w:p w14:paraId="517F24DE" w14:textId="4C742D62"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Meyerson, L. A., Baron, J., Melillo, J. M., </w:t>
      </w:r>
      <w:proofErr w:type="spellStart"/>
      <w:r>
        <w:rPr>
          <w:rFonts w:ascii="Times New Roman" w:hAnsi="Times New Roman" w:cs="Times New Roman"/>
          <w:bCs/>
          <w:sz w:val="24"/>
        </w:rPr>
        <w:t>Naiman</w:t>
      </w:r>
      <w:proofErr w:type="spellEnd"/>
      <w:r>
        <w:rPr>
          <w:rFonts w:ascii="Times New Roman" w:hAnsi="Times New Roman" w:cs="Times New Roman"/>
          <w:bCs/>
          <w:sz w:val="24"/>
        </w:rPr>
        <w:t>, R. J., O'Malley, R. I., Orians, G., Palmer, M. A., Pfaff, A. S. P., Running, S. W., and Sala, O. E. (2005). Aggregate measures of ecosystem services: can we take the pulse of nature? </w:t>
      </w:r>
      <w:r>
        <w:rPr>
          <w:rFonts w:ascii="Times New Roman" w:hAnsi="Times New Roman" w:cs="Times New Roman"/>
          <w:bCs/>
          <w:i/>
          <w:iCs/>
          <w:sz w:val="24"/>
        </w:rPr>
        <w:t>Frontiers in Ecology and the Environment</w:t>
      </w:r>
      <w:r>
        <w:rPr>
          <w:rFonts w:ascii="Times New Roman" w:hAnsi="Times New Roman" w:cs="Times New Roman"/>
          <w:bCs/>
          <w:sz w:val="24"/>
        </w:rPr>
        <w:t>, </w:t>
      </w:r>
      <w:r>
        <w:rPr>
          <w:rFonts w:ascii="Times New Roman" w:hAnsi="Times New Roman" w:cs="Times New Roman"/>
          <w:bCs/>
          <w:i/>
          <w:iCs/>
          <w:sz w:val="24"/>
        </w:rPr>
        <w:t>3</w:t>
      </w:r>
      <w:r>
        <w:rPr>
          <w:rFonts w:ascii="Times New Roman" w:hAnsi="Times New Roman" w:cs="Times New Roman"/>
          <w:bCs/>
          <w:sz w:val="24"/>
        </w:rPr>
        <w:t>(1), 56-59.</w:t>
      </w:r>
    </w:p>
    <w:p w14:paraId="251F3865"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Reeves, M. C., Zhao, M., and Running. S. W. (2005). Usefulness and limits of MODIS GPP for estimating wheat yield</w:t>
      </w:r>
      <w:r>
        <w:rPr>
          <w:rFonts w:ascii="Times New Roman" w:hAnsi="Times New Roman" w:cs="Times New Roman"/>
          <w:bCs/>
          <w:i/>
          <w:sz w:val="24"/>
        </w:rPr>
        <w:t>. International Journal of Remote Sensing</w:t>
      </w:r>
      <w:r>
        <w:rPr>
          <w:rFonts w:ascii="Times New Roman" w:hAnsi="Times New Roman" w:cs="Times New Roman"/>
          <w:bCs/>
          <w:sz w:val="24"/>
        </w:rPr>
        <w:t xml:space="preserve">, </w:t>
      </w:r>
      <w:r>
        <w:rPr>
          <w:rFonts w:ascii="Times New Roman" w:hAnsi="Times New Roman" w:cs="Times New Roman"/>
          <w:bCs/>
          <w:i/>
          <w:sz w:val="24"/>
        </w:rPr>
        <w:t>26</w:t>
      </w:r>
      <w:r>
        <w:rPr>
          <w:rFonts w:ascii="Times New Roman" w:hAnsi="Times New Roman" w:cs="Times New Roman"/>
          <w:bCs/>
          <w:sz w:val="24"/>
        </w:rPr>
        <w:t>(7), 1403-1421.</w:t>
      </w:r>
    </w:p>
    <w:p w14:paraId="02956120"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Cohen, W. B., </w:t>
      </w:r>
      <w:proofErr w:type="spellStart"/>
      <w:r>
        <w:rPr>
          <w:rFonts w:ascii="Times New Roman" w:hAnsi="Times New Roman" w:cs="Times New Roman"/>
          <w:bCs/>
          <w:sz w:val="24"/>
        </w:rPr>
        <w:t>Maeirsperger</w:t>
      </w:r>
      <w:proofErr w:type="spellEnd"/>
      <w:r>
        <w:rPr>
          <w:rFonts w:ascii="Times New Roman" w:hAnsi="Times New Roman" w:cs="Times New Roman"/>
          <w:bCs/>
          <w:sz w:val="24"/>
        </w:rPr>
        <w:t xml:space="preserve">, T. K., Gower, S. T., </w:t>
      </w:r>
      <w:proofErr w:type="spellStart"/>
      <w:r>
        <w:rPr>
          <w:rFonts w:ascii="Times New Roman" w:hAnsi="Times New Roman" w:cs="Times New Roman"/>
          <w:bCs/>
          <w:sz w:val="24"/>
        </w:rPr>
        <w:t>Kirschbaum</w:t>
      </w:r>
      <w:proofErr w:type="spellEnd"/>
      <w:r>
        <w:rPr>
          <w:rFonts w:ascii="Times New Roman" w:hAnsi="Times New Roman" w:cs="Times New Roman"/>
          <w:bCs/>
          <w:sz w:val="24"/>
        </w:rPr>
        <w:t xml:space="preserve">, A. A., Running, S. W., Zhao, M., </w:t>
      </w:r>
      <w:proofErr w:type="spellStart"/>
      <w:r>
        <w:rPr>
          <w:rFonts w:ascii="Times New Roman" w:hAnsi="Times New Roman" w:cs="Times New Roman"/>
          <w:bCs/>
          <w:sz w:val="24"/>
        </w:rPr>
        <w:t>Wofsy</w:t>
      </w:r>
      <w:proofErr w:type="spellEnd"/>
      <w:r>
        <w:rPr>
          <w:rFonts w:ascii="Times New Roman" w:hAnsi="Times New Roman" w:cs="Times New Roman"/>
          <w:bCs/>
          <w:sz w:val="24"/>
        </w:rPr>
        <w:t xml:space="preserve">, S. C., Dunn, A. L., Law, B. E., Campbell, J. L., </w:t>
      </w:r>
      <w:proofErr w:type="spellStart"/>
      <w:r>
        <w:rPr>
          <w:rFonts w:ascii="Times New Roman" w:hAnsi="Times New Roman" w:cs="Times New Roman"/>
          <w:bCs/>
          <w:sz w:val="24"/>
        </w:rPr>
        <w:t>Oechel</w:t>
      </w:r>
      <w:proofErr w:type="spellEnd"/>
      <w:r>
        <w:rPr>
          <w:rFonts w:ascii="Times New Roman" w:hAnsi="Times New Roman" w:cs="Times New Roman"/>
          <w:bCs/>
          <w:sz w:val="24"/>
        </w:rPr>
        <w:t xml:space="preserve">, W. C., Kwon, H. J., Meyers, T. P., Small, E. E., </w:t>
      </w:r>
      <w:proofErr w:type="spellStart"/>
      <w:r>
        <w:rPr>
          <w:rFonts w:ascii="Times New Roman" w:hAnsi="Times New Roman" w:cs="Times New Roman"/>
          <w:bCs/>
          <w:sz w:val="24"/>
        </w:rPr>
        <w:t>Kurc</w:t>
      </w:r>
      <w:proofErr w:type="spellEnd"/>
      <w:r>
        <w:rPr>
          <w:rFonts w:ascii="Times New Roman" w:hAnsi="Times New Roman" w:cs="Times New Roman"/>
          <w:bCs/>
          <w:sz w:val="24"/>
        </w:rPr>
        <w:t xml:space="preserve">, S. A., and </w:t>
      </w:r>
      <w:proofErr w:type="spellStart"/>
      <w:r>
        <w:rPr>
          <w:rFonts w:ascii="Times New Roman" w:hAnsi="Times New Roman" w:cs="Times New Roman"/>
          <w:bCs/>
          <w:sz w:val="24"/>
        </w:rPr>
        <w:t>Gamon</w:t>
      </w:r>
      <w:proofErr w:type="spellEnd"/>
      <w:r>
        <w:rPr>
          <w:rFonts w:ascii="Times New Roman" w:hAnsi="Times New Roman" w:cs="Times New Roman"/>
          <w:bCs/>
          <w:sz w:val="24"/>
        </w:rPr>
        <w:t>, J. A. (2005). Site</w:t>
      </w:r>
      <w:r>
        <w:rPr>
          <w:rFonts w:ascii="Cambria Math" w:hAnsi="Cambria Math" w:cs="Cambria Math"/>
          <w:bCs/>
          <w:sz w:val="24"/>
        </w:rPr>
        <w:t>‐</w:t>
      </w:r>
      <w:r>
        <w:rPr>
          <w:rFonts w:ascii="Times New Roman" w:hAnsi="Times New Roman" w:cs="Times New Roman"/>
          <w:bCs/>
          <w:sz w:val="24"/>
        </w:rPr>
        <w:t>level evaluation of satellite</w:t>
      </w:r>
      <w:r>
        <w:rPr>
          <w:rFonts w:ascii="Cambria Math" w:hAnsi="Cambria Math" w:cs="Cambria Math"/>
          <w:bCs/>
          <w:sz w:val="24"/>
        </w:rPr>
        <w:t>‐</w:t>
      </w:r>
      <w:r>
        <w:rPr>
          <w:rFonts w:ascii="Times New Roman" w:hAnsi="Times New Roman" w:cs="Times New Roman"/>
          <w:bCs/>
          <w:sz w:val="24"/>
        </w:rPr>
        <w:t>based global terrestrial gross primary production and net primary production monitoring. </w:t>
      </w:r>
      <w:r>
        <w:rPr>
          <w:rFonts w:ascii="Times New Roman" w:hAnsi="Times New Roman" w:cs="Times New Roman"/>
          <w:bCs/>
          <w:i/>
          <w:iCs/>
          <w:sz w:val="24"/>
        </w:rPr>
        <w:t>Global Change Biology</w:t>
      </w:r>
      <w:r>
        <w:rPr>
          <w:rFonts w:ascii="Times New Roman" w:hAnsi="Times New Roman" w:cs="Times New Roman"/>
          <w:bCs/>
          <w:sz w:val="24"/>
        </w:rPr>
        <w:t>, </w:t>
      </w:r>
      <w:r>
        <w:rPr>
          <w:rFonts w:ascii="Times New Roman" w:hAnsi="Times New Roman" w:cs="Times New Roman"/>
          <w:bCs/>
          <w:i/>
          <w:iCs/>
          <w:sz w:val="24"/>
        </w:rPr>
        <w:t>11</w:t>
      </w:r>
      <w:r>
        <w:rPr>
          <w:rFonts w:ascii="Times New Roman" w:hAnsi="Times New Roman" w:cs="Times New Roman"/>
          <w:bCs/>
          <w:sz w:val="24"/>
        </w:rPr>
        <w:t>(4), 666-684.</w:t>
      </w:r>
    </w:p>
    <w:p w14:paraId="71A0D99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Zhao, M., </w:t>
      </w:r>
      <w:proofErr w:type="spellStart"/>
      <w:r>
        <w:rPr>
          <w:rFonts w:ascii="Times New Roman" w:hAnsi="Times New Roman" w:cs="Times New Roman"/>
          <w:bCs/>
          <w:sz w:val="24"/>
        </w:rPr>
        <w:t>Heinsch</w:t>
      </w:r>
      <w:proofErr w:type="spellEnd"/>
      <w:r>
        <w:rPr>
          <w:rFonts w:ascii="Times New Roman" w:hAnsi="Times New Roman" w:cs="Times New Roman"/>
          <w:bCs/>
          <w:sz w:val="24"/>
        </w:rPr>
        <w:t xml:space="preserve">, F. A., </w:t>
      </w:r>
      <w:proofErr w:type="spellStart"/>
      <w:r>
        <w:rPr>
          <w:rFonts w:ascii="Times New Roman" w:hAnsi="Times New Roman" w:cs="Times New Roman"/>
          <w:bCs/>
          <w:sz w:val="24"/>
        </w:rPr>
        <w:t>Nemani</w:t>
      </w:r>
      <w:proofErr w:type="spellEnd"/>
      <w:r>
        <w:rPr>
          <w:rFonts w:ascii="Times New Roman" w:hAnsi="Times New Roman" w:cs="Times New Roman"/>
          <w:bCs/>
          <w:sz w:val="24"/>
        </w:rPr>
        <w:t>, R. R., and Running, S. W. (2005). Improvements of the MODIS terrestrial gross and net primary production global data set.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95</w:t>
      </w:r>
      <w:r>
        <w:rPr>
          <w:rFonts w:ascii="Times New Roman" w:hAnsi="Times New Roman" w:cs="Times New Roman"/>
          <w:bCs/>
          <w:sz w:val="24"/>
        </w:rPr>
        <w:t xml:space="preserve">(2), 164-176. </w:t>
      </w:r>
    </w:p>
    <w:p w14:paraId="532ACADB"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lastRenderedPageBreak/>
        <w:t xml:space="preserve">Hashimoto, H., </w:t>
      </w:r>
      <w:proofErr w:type="spellStart"/>
      <w:r>
        <w:rPr>
          <w:rFonts w:ascii="Times New Roman" w:hAnsi="Times New Roman" w:cs="Times New Roman"/>
          <w:bCs/>
          <w:sz w:val="24"/>
        </w:rPr>
        <w:t>Nemani</w:t>
      </w:r>
      <w:proofErr w:type="spellEnd"/>
      <w:r>
        <w:rPr>
          <w:rFonts w:ascii="Times New Roman" w:hAnsi="Times New Roman" w:cs="Times New Roman"/>
          <w:bCs/>
          <w:sz w:val="24"/>
        </w:rPr>
        <w:t>, R. R., White, M. A., Jolly, W. M., Piper, S. C., Keeling, C. D., Myneni, R. R., and Running, S. W. (2004). El Nino–Southern Oscillation–induced variability in terrestrial carbon cycling. </w:t>
      </w:r>
      <w:r>
        <w:rPr>
          <w:rFonts w:ascii="Times New Roman" w:hAnsi="Times New Roman" w:cs="Times New Roman"/>
          <w:bCs/>
          <w:i/>
          <w:iCs/>
          <w:sz w:val="24"/>
        </w:rPr>
        <w:t>Journal of Geophysical Research: Atmospheres</w:t>
      </w:r>
      <w:r>
        <w:rPr>
          <w:rFonts w:ascii="Times New Roman" w:hAnsi="Times New Roman" w:cs="Times New Roman"/>
          <w:bCs/>
          <w:sz w:val="24"/>
        </w:rPr>
        <w:t>, </w:t>
      </w:r>
      <w:r>
        <w:rPr>
          <w:rFonts w:ascii="Times New Roman" w:hAnsi="Times New Roman" w:cs="Times New Roman"/>
          <w:bCs/>
          <w:i/>
          <w:iCs/>
          <w:sz w:val="24"/>
        </w:rPr>
        <w:t>109</w:t>
      </w:r>
      <w:r>
        <w:rPr>
          <w:rFonts w:ascii="Times New Roman" w:hAnsi="Times New Roman" w:cs="Times New Roman"/>
          <w:bCs/>
          <w:sz w:val="24"/>
        </w:rPr>
        <w:t xml:space="preserve">(D23). </w:t>
      </w:r>
    </w:p>
    <w:p w14:paraId="705A14D2"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S.W. (2004) Global Land Data Sets for Next Generation Biospheric Monitoring.  </w:t>
      </w:r>
      <w:r>
        <w:rPr>
          <w:rFonts w:ascii="Times New Roman" w:hAnsi="Times New Roman" w:cs="Times New Roman"/>
          <w:bCs/>
          <w:i/>
          <w:sz w:val="24"/>
        </w:rPr>
        <w:t>American Geophysical Union Eos Transactions</w:t>
      </w:r>
      <w:r>
        <w:rPr>
          <w:rFonts w:ascii="Times New Roman" w:hAnsi="Times New Roman" w:cs="Times New Roman"/>
          <w:bCs/>
          <w:sz w:val="24"/>
        </w:rPr>
        <w:t xml:space="preserve">, </w:t>
      </w:r>
      <w:r>
        <w:rPr>
          <w:rFonts w:ascii="Times New Roman" w:hAnsi="Times New Roman" w:cs="Times New Roman"/>
          <w:bCs/>
          <w:i/>
          <w:sz w:val="24"/>
        </w:rPr>
        <w:t>85</w:t>
      </w:r>
      <w:r>
        <w:rPr>
          <w:rFonts w:ascii="Times New Roman" w:hAnsi="Times New Roman" w:cs="Times New Roman"/>
          <w:bCs/>
          <w:sz w:val="24"/>
        </w:rPr>
        <w:t xml:space="preserve">(50), 543-545. </w:t>
      </w:r>
    </w:p>
    <w:p w14:paraId="16EDBE52"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w:t>
      </w:r>
      <w:proofErr w:type="gramStart"/>
      <w:r>
        <w:rPr>
          <w:rFonts w:ascii="Times New Roman" w:hAnsi="Times New Roman" w:cs="Times New Roman"/>
          <w:bCs/>
          <w:sz w:val="24"/>
        </w:rPr>
        <w:t>R.,</w:t>
      </w:r>
      <w:proofErr w:type="spellStart"/>
      <w:r>
        <w:rPr>
          <w:rFonts w:ascii="Times New Roman" w:hAnsi="Times New Roman" w:cs="Times New Roman"/>
          <w:bCs/>
          <w:sz w:val="24"/>
        </w:rPr>
        <w:t>Heinsch</w:t>
      </w:r>
      <w:proofErr w:type="spellEnd"/>
      <w:proofErr w:type="gramEnd"/>
      <w:r>
        <w:rPr>
          <w:rFonts w:ascii="Times New Roman" w:hAnsi="Times New Roman" w:cs="Times New Roman"/>
          <w:bCs/>
          <w:sz w:val="24"/>
        </w:rPr>
        <w:t xml:space="preserve">, F. A., Zhao, M., Reeves, M., and Hashimoto, H. (2004). A Continuous Satellite-Derived Measure of Global Terrestrial Primary Production. </w:t>
      </w:r>
      <w:proofErr w:type="spellStart"/>
      <w:r>
        <w:rPr>
          <w:rFonts w:ascii="Times New Roman" w:hAnsi="Times New Roman" w:cs="Times New Roman"/>
          <w:bCs/>
          <w:i/>
          <w:sz w:val="24"/>
        </w:rPr>
        <w:t>BioScience</w:t>
      </w:r>
      <w:proofErr w:type="spellEnd"/>
      <w:r>
        <w:rPr>
          <w:rFonts w:ascii="Times New Roman" w:hAnsi="Times New Roman" w:cs="Times New Roman"/>
          <w:bCs/>
          <w:sz w:val="24"/>
        </w:rPr>
        <w:t xml:space="preserve">, </w:t>
      </w:r>
      <w:r>
        <w:rPr>
          <w:rFonts w:ascii="Times New Roman" w:hAnsi="Times New Roman" w:cs="Times New Roman"/>
          <w:bCs/>
          <w:i/>
          <w:sz w:val="24"/>
        </w:rPr>
        <w:t>54</w:t>
      </w:r>
      <w:r>
        <w:rPr>
          <w:rFonts w:ascii="Times New Roman" w:hAnsi="Times New Roman" w:cs="Times New Roman"/>
          <w:bCs/>
          <w:sz w:val="24"/>
        </w:rPr>
        <w:t>(6), 547-560.</w:t>
      </w:r>
    </w:p>
    <w:p w14:paraId="086A223D"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Cohen, W. B., </w:t>
      </w:r>
      <w:proofErr w:type="spellStart"/>
      <w:r>
        <w:rPr>
          <w:rFonts w:ascii="Times New Roman" w:hAnsi="Times New Roman" w:cs="Times New Roman"/>
          <w:bCs/>
          <w:sz w:val="24"/>
        </w:rPr>
        <w:t>Maiersperger</w:t>
      </w:r>
      <w:proofErr w:type="spellEnd"/>
      <w:r>
        <w:rPr>
          <w:rFonts w:ascii="Times New Roman" w:hAnsi="Times New Roman" w:cs="Times New Roman"/>
          <w:bCs/>
          <w:sz w:val="24"/>
        </w:rPr>
        <w:t xml:space="preserve">, T. K., Yang, Z., Gower, S. T., 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w:t>
      </w:r>
      <w:proofErr w:type="spellStart"/>
      <w:r>
        <w:rPr>
          <w:rFonts w:ascii="Times New Roman" w:hAnsi="Times New Roman" w:cs="Times New Roman"/>
          <w:bCs/>
          <w:sz w:val="24"/>
        </w:rPr>
        <w:t>Berterretche</w:t>
      </w:r>
      <w:proofErr w:type="spellEnd"/>
      <w:r>
        <w:rPr>
          <w:rFonts w:ascii="Times New Roman" w:hAnsi="Times New Roman" w:cs="Times New Roman"/>
          <w:bCs/>
          <w:sz w:val="24"/>
        </w:rPr>
        <w:t>, M., and Running, S. W. (2003). Comparisons of land cover and LAI estimates derived from ETM+ and MODIS for four sites in North America: A quality assessment of 2000/2001 provisional MODIS products.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88</w:t>
      </w:r>
      <w:r>
        <w:rPr>
          <w:rFonts w:ascii="Times New Roman" w:hAnsi="Times New Roman" w:cs="Times New Roman"/>
          <w:bCs/>
          <w:sz w:val="24"/>
        </w:rPr>
        <w:t>(3), 233-255.</w:t>
      </w:r>
    </w:p>
    <w:p w14:paraId="35769CD9"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Nemani</w:t>
      </w:r>
      <w:proofErr w:type="spellEnd"/>
      <w:r>
        <w:rPr>
          <w:rFonts w:ascii="Times New Roman" w:hAnsi="Times New Roman" w:cs="Times New Roman"/>
          <w:bCs/>
          <w:sz w:val="24"/>
        </w:rPr>
        <w:t>, R. R., Keeling, C. D., Hashimoto, H., Jolly, W. M., Piper, S. C., Tucker, C. J., Myneni R. B., and Running, S. W. (2003). Climate-driven increases in global terrestrial net primary production from 1982 to 1999, S</w:t>
      </w:r>
      <w:r>
        <w:rPr>
          <w:rFonts w:ascii="Times New Roman" w:hAnsi="Times New Roman" w:cs="Times New Roman"/>
          <w:bCs/>
          <w:i/>
          <w:iCs/>
          <w:sz w:val="24"/>
        </w:rPr>
        <w:t>cience</w:t>
      </w:r>
      <w:r>
        <w:rPr>
          <w:rFonts w:ascii="Times New Roman" w:hAnsi="Times New Roman" w:cs="Times New Roman"/>
          <w:bCs/>
          <w:sz w:val="24"/>
        </w:rPr>
        <w:t>, </w:t>
      </w:r>
      <w:r>
        <w:rPr>
          <w:rFonts w:ascii="Times New Roman" w:hAnsi="Times New Roman" w:cs="Times New Roman"/>
          <w:bCs/>
          <w:i/>
          <w:iCs/>
          <w:sz w:val="24"/>
        </w:rPr>
        <w:t>300</w:t>
      </w:r>
      <w:r>
        <w:rPr>
          <w:rFonts w:ascii="Times New Roman" w:hAnsi="Times New Roman" w:cs="Times New Roman"/>
          <w:bCs/>
          <w:sz w:val="24"/>
        </w:rPr>
        <w:t>(5625), 1560-1563.</w:t>
      </w:r>
    </w:p>
    <w:p w14:paraId="66E911B7"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Milesi</w:t>
      </w:r>
      <w:proofErr w:type="spellEnd"/>
      <w:r>
        <w:rPr>
          <w:rFonts w:ascii="Times New Roman" w:hAnsi="Times New Roman" w:cs="Times New Roman"/>
          <w:bCs/>
          <w:sz w:val="24"/>
        </w:rPr>
        <w:t xml:space="preserve">, C., </w:t>
      </w:r>
      <w:proofErr w:type="spellStart"/>
      <w:r>
        <w:rPr>
          <w:rFonts w:ascii="Times New Roman" w:hAnsi="Times New Roman" w:cs="Times New Roman"/>
          <w:bCs/>
          <w:sz w:val="24"/>
        </w:rPr>
        <w:t>Elvidge</w:t>
      </w:r>
      <w:proofErr w:type="spellEnd"/>
      <w:r>
        <w:rPr>
          <w:rFonts w:ascii="Times New Roman" w:hAnsi="Times New Roman" w:cs="Times New Roman"/>
          <w:bCs/>
          <w:sz w:val="24"/>
        </w:rPr>
        <w:t xml:space="preserve">, C. D.,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R., and Running, S. W (2003). Assessing the environmental impacts of human settlements using satellite data. </w:t>
      </w:r>
      <w:r>
        <w:rPr>
          <w:rFonts w:ascii="Times New Roman" w:hAnsi="Times New Roman" w:cs="Times New Roman"/>
          <w:bCs/>
          <w:i/>
          <w:sz w:val="24"/>
        </w:rPr>
        <w:t>Management of Environmental Quality</w:t>
      </w:r>
      <w:r>
        <w:rPr>
          <w:rFonts w:ascii="Times New Roman" w:hAnsi="Times New Roman" w:cs="Times New Roman"/>
          <w:bCs/>
          <w:sz w:val="24"/>
        </w:rPr>
        <w:t xml:space="preserve">, </w:t>
      </w:r>
      <w:r>
        <w:rPr>
          <w:rFonts w:ascii="Times New Roman" w:hAnsi="Times New Roman" w:cs="Times New Roman"/>
          <w:bCs/>
          <w:i/>
          <w:sz w:val="24"/>
        </w:rPr>
        <w:t>14</w:t>
      </w:r>
      <w:r>
        <w:rPr>
          <w:rFonts w:ascii="Times New Roman" w:hAnsi="Times New Roman" w:cs="Times New Roman"/>
          <w:bCs/>
          <w:sz w:val="24"/>
        </w:rPr>
        <w:t>(1), 99-107.</w:t>
      </w:r>
    </w:p>
    <w:p w14:paraId="51133292"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Milesi</w:t>
      </w:r>
      <w:proofErr w:type="spellEnd"/>
      <w:r>
        <w:rPr>
          <w:rFonts w:ascii="Times New Roman" w:hAnsi="Times New Roman" w:cs="Times New Roman"/>
          <w:bCs/>
          <w:sz w:val="24"/>
        </w:rPr>
        <w:t xml:space="preserve">, C., </w:t>
      </w:r>
      <w:proofErr w:type="spellStart"/>
      <w:r>
        <w:rPr>
          <w:rFonts w:ascii="Times New Roman" w:hAnsi="Times New Roman" w:cs="Times New Roman"/>
          <w:bCs/>
          <w:sz w:val="24"/>
        </w:rPr>
        <w:t>Elvidge</w:t>
      </w:r>
      <w:proofErr w:type="spellEnd"/>
      <w:r>
        <w:rPr>
          <w:rFonts w:ascii="Times New Roman" w:hAnsi="Times New Roman" w:cs="Times New Roman"/>
          <w:bCs/>
          <w:sz w:val="24"/>
        </w:rPr>
        <w:t xml:space="preserve">, C. D,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R., Running, S. W. (2003). Assessing the impact of urban land development on net primary productivity in the southeastern United States. </w:t>
      </w:r>
      <w:r>
        <w:rPr>
          <w:rFonts w:ascii="Times New Roman" w:hAnsi="Times New Roman" w:cs="Times New Roman"/>
          <w:bCs/>
          <w:i/>
          <w:sz w:val="24"/>
        </w:rPr>
        <w:t>Remote Sensing of Environment</w:t>
      </w:r>
      <w:r>
        <w:rPr>
          <w:rFonts w:ascii="Times New Roman" w:hAnsi="Times New Roman" w:cs="Times New Roman"/>
          <w:bCs/>
          <w:sz w:val="24"/>
        </w:rPr>
        <w:t xml:space="preserve">, </w:t>
      </w:r>
      <w:r>
        <w:rPr>
          <w:rFonts w:ascii="Times New Roman" w:hAnsi="Times New Roman" w:cs="Times New Roman"/>
          <w:bCs/>
          <w:i/>
          <w:sz w:val="24"/>
        </w:rPr>
        <w:t>86</w:t>
      </w:r>
      <w:r>
        <w:rPr>
          <w:rFonts w:ascii="Times New Roman" w:hAnsi="Times New Roman" w:cs="Times New Roman"/>
          <w:bCs/>
          <w:sz w:val="24"/>
        </w:rPr>
        <w:t>(3), 401-410.</w:t>
      </w:r>
    </w:p>
    <w:p w14:paraId="0CE2C5A6"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White, M., Pierce, L., </w:t>
      </w:r>
      <w:proofErr w:type="spellStart"/>
      <w:r>
        <w:rPr>
          <w:rFonts w:ascii="Times New Roman" w:hAnsi="Times New Roman" w:cs="Times New Roman"/>
          <w:bCs/>
          <w:sz w:val="24"/>
        </w:rPr>
        <w:t>Votava</w:t>
      </w:r>
      <w:proofErr w:type="spellEnd"/>
      <w:r>
        <w:rPr>
          <w:rFonts w:ascii="Times New Roman" w:hAnsi="Times New Roman" w:cs="Times New Roman"/>
          <w:bCs/>
          <w:sz w:val="24"/>
        </w:rPr>
        <w:t xml:space="preserve">, P., Coughlan, J., Running, S. W. (2003). Biospheric Monitoring and Ecological Forecasting. </w:t>
      </w:r>
      <w:r>
        <w:rPr>
          <w:rFonts w:ascii="Times New Roman" w:hAnsi="Times New Roman" w:cs="Times New Roman"/>
          <w:bCs/>
          <w:i/>
          <w:sz w:val="24"/>
        </w:rPr>
        <w:t>Earth Observation Magazine,</w:t>
      </w:r>
      <w:r>
        <w:rPr>
          <w:rFonts w:ascii="Times New Roman" w:hAnsi="Times New Roman" w:cs="Times New Roman"/>
          <w:bCs/>
          <w:sz w:val="24"/>
        </w:rPr>
        <w:t xml:space="preserve"> </w:t>
      </w:r>
      <w:r>
        <w:rPr>
          <w:rFonts w:ascii="Times New Roman" w:hAnsi="Times New Roman" w:cs="Times New Roman"/>
          <w:bCs/>
          <w:i/>
          <w:sz w:val="24"/>
        </w:rPr>
        <w:t>12</w:t>
      </w:r>
      <w:r>
        <w:rPr>
          <w:rFonts w:ascii="Times New Roman" w:hAnsi="Times New Roman" w:cs="Times New Roman"/>
          <w:bCs/>
          <w:sz w:val="24"/>
        </w:rPr>
        <w:t>(2), 6-8.</w:t>
      </w:r>
    </w:p>
    <w:p w14:paraId="76830F55"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Turner, D. P., </w:t>
      </w:r>
      <w:proofErr w:type="spellStart"/>
      <w:r>
        <w:rPr>
          <w:rFonts w:ascii="Times New Roman" w:hAnsi="Times New Roman" w:cs="Times New Roman"/>
          <w:bCs/>
          <w:sz w:val="24"/>
        </w:rPr>
        <w:t>Ritts</w:t>
      </w:r>
      <w:proofErr w:type="spellEnd"/>
      <w:r>
        <w:rPr>
          <w:rFonts w:ascii="Times New Roman" w:hAnsi="Times New Roman" w:cs="Times New Roman"/>
          <w:bCs/>
          <w:sz w:val="24"/>
        </w:rPr>
        <w:t xml:space="preserve">, W. D., Cohen, W. B., Gower, S. T., Zhao, M., Running, S. W., </w:t>
      </w:r>
      <w:proofErr w:type="spellStart"/>
      <w:r>
        <w:rPr>
          <w:rFonts w:ascii="Times New Roman" w:hAnsi="Times New Roman" w:cs="Times New Roman"/>
          <w:bCs/>
          <w:sz w:val="24"/>
        </w:rPr>
        <w:t>Wofsy</w:t>
      </w:r>
      <w:proofErr w:type="spellEnd"/>
      <w:r>
        <w:rPr>
          <w:rFonts w:ascii="Times New Roman" w:hAnsi="Times New Roman" w:cs="Times New Roman"/>
          <w:bCs/>
          <w:sz w:val="24"/>
        </w:rPr>
        <w:t>, S.C., Urbanski, S., Dunn, A. L., and Munger, J. W. (2003). Scaling gross primary production (GPP) over boreal and deciduous forest landscapes in support of MODIS GPP product validation.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88</w:t>
      </w:r>
      <w:r>
        <w:rPr>
          <w:rFonts w:ascii="Times New Roman" w:hAnsi="Times New Roman" w:cs="Times New Roman"/>
          <w:bCs/>
          <w:sz w:val="24"/>
        </w:rPr>
        <w:t>(3), 256-270.</w:t>
      </w:r>
    </w:p>
    <w:p w14:paraId="5C4E9DA4"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Myneni, R. B., Hoffman, S., </w:t>
      </w:r>
      <w:proofErr w:type="spellStart"/>
      <w:r>
        <w:rPr>
          <w:rFonts w:ascii="Times New Roman" w:hAnsi="Times New Roman" w:cs="Times New Roman"/>
          <w:bCs/>
          <w:sz w:val="24"/>
        </w:rPr>
        <w:t>Knyazikhin</w:t>
      </w:r>
      <w:proofErr w:type="spellEnd"/>
      <w:r>
        <w:rPr>
          <w:rFonts w:ascii="Times New Roman" w:hAnsi="Times New Roman" w:cs="Times New Roman"/>
          <w:bCs/>
          <w:sz w:val="24"/>
        </w:rPr>
        <w:t xml:space="preserve">, Y., </w:t>
      </w:r>
      <w:proofErr w:type="spellStart"/>
      <w:r>
        <w:rPr>
          <w:rFonts w:ascii="Times New Roman" w:hAnsi="Times New Roman" w:cs="Times New Roman"/>
          <w:bCs/>
          <w:sz w:val="24"/>
        </w:rPr>
        <w:t>Privette</w:t>
      </w:r>
      <w:proofErr w:type="spellEnd"/>
      <w:r>
        <w:rPr>
          <w:rFonts w:ascii="Times New Roman" w:hAnsi="Times New Roman" w:cs="Times New Roman"/>
          <w:bCs/>
          <w:sz w:val="24"/>
        </w:rPr>
        <w:t xml:space="preserve">, J. L., Glassy, J., Tian, Y., Wang, Y., Song, X., Zhang, Y., Smith, G. R., </w:t>
      </w:r>
      <w:proofErr w:type="spellStart"/>
      <w:r>
        <w:rPr>
          <w:rFonts w:ascii="Times New Roman" w:hAnsi="Times New Roman" w:cs="Times New Roman"/>
          <w:bCs/>
          <w:sz w:val="24"/>
        </w:rPr>
        <w:t>Lotsch</w:t>
      </w:r>
      <w:proofErr w:type="spellEnd"/>
      <w:r>
        <w:rPr>
          <w:rFonts w:ascii="Times New Roman" w:hAnsi="Times New Roman" w:cs="Times New Roman"/>
          <w:bCs/>
          <w:sz w:val="24"/>
        </w:rPr>
        <w:t xml:space="preserve">, A., </w:t>
      </w:r>
      <w:proofErr w:type="spellStart"/>
      <w:r>
        <w:rPr>
          <w:rFonts w:ascii="Times New Roman" w:hAnsi="Times New Roman" w:cs="Times New Roman"/>
          <w:bCs/>
          <w:sz w:val="24"/>
        </w:rPr>
        <w:t>Friedl</w:t>
      </w:r>
      <w:proofErr w:type="spellEnd"/>
      <w:r>
        <w:rPr>
          <w:rFonts w:ascii="Times New Roman" w:hAnsi="Times New Roman" w:cs="Times New Roman"/>
          <w:bCs/>
          <w:sz w:val="24"/>
        </w:rPr>
        <w:t xml:space="preserve">, M., Morisette, J. T., </w:t>
      </w:r>
      <w:proofErr w:type="spellStart"/>
      <w:r>
        <w:rPr>
          <w:rFonts w:ascii="Times New Roman" w:hAnsi="Times New Roman" w:cs="Times New Roman"/>
          <w:bCs/>
          <w:sz w:val="24"/>
        </w:rPr>
        <w:t>Votava</w:t>
      </w:r>
      <w:proofErr w:type="spellEnd"/>
      <w:r>
        <w:rPr>
          <w:rFonts w:ascii="Times New Roman" w:hAnsi="Times New Roman" w:cs="Times New Roman"/>
          <w:bCs/>
          <w:sz w:val="24"/>
        </w:rPr>
        <w:t xml:space="preserve">, </w:t>
      </w:r>
      <w:proofErr w:type="gramStart"/>
      <w:r>
        <w:rPr>
          <w:rFonts w:ascii="Times New Roman" w:hAnsi="Times New Roman" w:cs="Times New Roman"/>
          <w:bCs/>
          <w:sz w:val="24"/>
        </w:rPr>
        <w:t>P.,.</w:t>
      </w:r>
      <w:proofErr w:type="gramEnd"/>
      <w:r>
        <w:rPr>
          <w:rFonts w:ascii="Times New Roman" w:hAnsi="Times New Roman" w:cs="Times New Roman"/>
          <w:bCs/>
          <w:sz w:val="24"/>
        </w:rPr>
        <w:t xml:space="preserve"> </w:t>
      </w:r>
      <w:proofErr w:type="spellStart"/>
      <w:r>
        <w:rPr>
          <w:rFonts w:ascii="Times New Roman" w:hAnsi="Times New Roman" w:cs="Times New Roman"/>
          <w:bCs/>
          <w:sz w:val="24"/>
        </w:rPr>
        <w:t>Nemani</w:t>
      </w:r>
      <w:proofErr w:type="spellEnd"/>
      <w:r>
        <w:rPr>
          <w:rFonts w:ascii="Times New Roman" w:hAnsi="Times New Roman" w:cs="Times New Roman"/>
          <w:bCs/>
          <w:sz w:val="24"/>
        </w:rPr>
        <w:t>, R. R, and Running, S. W. (2002). Global products of vegetation leaf area and fraction absorbed PAR from year one of MODIS data. </w:t>
      </w:r>
      <w:r>
        <w:rPr>
          <w:rFonts w:ascii="Times New Roman" w:hAnsi="Times New Roman" w:cs="Times New Roman"/>
          <w:bCs/>
          <w:i/>
          <w:iCs/>
          <w:sz w:val="24"/>
        </w:rPr>
        <w:t>Remote sensing of environment</w:t>
      </w:r>
      <w:r>
        <w:rPr>
          <w:rFonts w:ascii="Times New Roman" w:hAnsi="Times New Roman" w:cs="Times New Roman"/>
          <w:bCs/>
          <w:sz w:val="24"/>
        </w:rPr>
        <w:t>, </w:t>
      </w:r>
      <w:r>
        <w:rPr>
          <w:rFonts w:ascii="Times New Roman" w:hAnsi="Times New Roman" w:cs="Times New Roman"/>
          <w:bCs/>
          <w:i/>
          <w:iCs/>
          <w:sz w:val="24"/>
        </w:rPr>
        <w:t>83</w:t>
      </w:r>
      <w:r>
        <w:rPr>
          <w:rFonts w:ascii="Times New Roman" w:hAnsi="Times New Roman" w:cs="Times New Roman"/>
          <w:bCs/>
          <w:sz w:val="24"/>
        </w:rPr>
        <w:t>(1), 214-231.</w:t>
      </w:r>
    </w:p>
    <w:p w14:paraId="0BABA1E2"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Nemani</w:t>
      </w:r>
      <w:proofErr w:type="spellEnd"/>
      <w:r>
        <w:rPr>
          <w:rFonts w:ascii="Times New Roman" w:hAnsi="Times New Roman" w:cs="Times New Roman"/>
          <w:bCs/>
          <w:sz w:val="24"/>
        </w:rPr>
        <w:t>, R., White, M., Thornton, P., Nishida, K., Reddy, S., Jenkins, J., and Running, S. (2002). Recent trends in hydrologic balance have enhanced the terrestrial carbon sink in the United States. </w:t>
      </w:r>
      <w:r>
        <w:rPr>
          <w:rFonts w:ascii="Times New Roman" w:hAnsi="Times New Roman" w:cs="Times New Roman"/>
          <w:bCs/>
          <w:i/>
          <w:iCs/>
          <w:sz w:val="24"/>
        </w:rPr>
        <w:t>Geophysical Research Letters</w:t>
      </w:r>
      <w:r>
        <w:rPr>
          <w:rFonts w:ascii="Times New Roman" w:hAnsi="Times New Roman" w:cs="Times New Roman"/>
          <w:bCs/>
          <w:sz w:val="24"/>
        </w:rPr>
        <w:t xml:space="preserve">, </w:t>
      </w:r>
      <w:r>
        <w:rPr>
          <w:rFonts w:ascii="Times New Roman" w:hAnsi="Times New Roman" w:cs="Times New Roman"/>
          <w:bCs/>
          <w:i/>
          <w:iCs/>
          <w:sz w:val="24"/>
        </w:rPr>
        <w:t>29</w:t>
      </w:r>
      <w:r>
        <w:rPr>
          <w:rFonts w:ascii="Times New Roman" w:hAnsi="Times New Roman" w:cs="Times New Roman"/>
          <w:bCs/>
          <w:sz w:val="24"/>
        </w:rPr>
        <w:t>(10), 106-1.</w:t>
      </w:r>
    </w:p>
    <w:p w14:paraId="7CBE2766"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Pielke, R. A., Marland, G., Betts, R. A., Chase, T. N., Eastman, J. L., Niles, J. O., and Running, S. W. (2002). The influence of land-use change and landscape dynamics on the climate system: relevance to climate-change policy beyond the radiative effect of greenhouse gases. </w:t>
      </w:r>
      <w:r>
        <w:rPr>
          <w:rFonts w:ascii="Times New Roman" w:hAnsi="Times New Roman" w:cs="Times New Roman"/>
          <w:bCs/>
          <w:i/>
          <w:iCs/>
          <w:sz w:val="24"/>
        </w:rPr>
        <w:t>Philosophical Transactions of the Royal Society of London A: Mathematical, Physical and Engineering Sciences</w:t>
      </w:r>
      <w:r>
        <w:rPr>
          <w:rFonts w:ascii="Times New Roman" w:hAnsi="Times New Roman" w:cs="Times New Roman"/>
          <w:bCs/>
          <w:sz w:val="24"/>
        </w:rPr>
        <w:t xml:space="preserve">, </w:t>
      </w:r>
      <w:r>
        <w:rPr>
          <w:rFonts w:ascii="Times New Roman" w:hAnsi="Times New Roman" w:cs="Times New Roman"/>
          <w:bCs/>
          <w:i/>
          <w:iCs/>
          <w:sz w:val="24"/>
        </w:rPr>
        <w:t>360</w:t>
      </w:r>
      <w:r>
        <w:rPr>
          <w:rFonts w:ascii="Times New Roman" w:hAnsi="Times New Roman" w:cs="Times New Roman"/>
          <w:bCs/>
          <w:sz w:val="24"/>
        </w:rPr>
        <w:t>(1797), 1705-1719.</w:t>
      </w:r>
    </w:p>
    <w:p w14:paraId="1D45467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(2002). New Satellite Technologies Enhance Study of Terrestrial Biosphere. Eos, Transactions. </w:t>
      </w:r>
      <w:r>
        <w:rPr>
          <w:rFonts w:ascii="Times New Roman" w:hAnsi="Times New Roman" w:cs="Times New Roman"/>
          <w:bCs/>
          <w:i/>
          <w:sz w:val="24"/>
        </w:rPr>
        <w:t>American Geophysical Union</w:t>
      </w:r>
      <w:r>
        <w:rPr>
          <w:rFonts w:ascii="Times New Roman" w:hAnsi="Times New Roman" w:cs="Times New Roman"/>
          <w:bCs/>
          <w:sz w:val="24"/>
        </w:rPr>
        <w:t xml:space="preserve">, </w:t>
      </w:r>
      <w:r>
        <w:rPr>
          <w:rFonts w:ascii="Times New Roman" w:hAnsi="Times New Roman" w:cs="Times New Roman"/>
          <w:bCs/>
          <w:i/>
          <w:sz w:val="24"/>
        </w:rPr>
        <w:t>83</w:t>
      </w:r>
      <w:r>
        <w:rPr>
          <w:rFonts w:ascii="Times New Roman" w:hAnsi="Times New Roman" w:cs="Times New Roman"/>
          <w:bCs/>
          <w:sz w:val="24"/>
        </w:rPr>
        <w:t>(41), 458-460.</w:t>
      </w:r>
    </w:p>
    <w:p w14:paraId="45BC92B2"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Schimel, D., Kittel, T. G., Running, S., Monson, R., Turnipseed, A., and Anderson, D. (2002). Carbon sequestration studied in western US mountains. </w:t>
      </w:r>
      <w:r>
        <w:rPr>
          <w:rFonts w:ascii="Times New Roman" w:hAnsi="Times New Roman" w:cs="Times New Roman"/>
          <w:bCs/>
          <w:i/>
          <w:iCs/>
          <w:sz w:val="24"/>
        </w:rPr>
        <w:t>Eos, Transactions American Geophysical Union</w:t>
      </w:r>
      <w:r>
        <w:rPr>
          <w:rFonts w:ascii="Times New Roman" w:hAnsi="Times New Roman" w:cs="Times New Roman"/>
          <w:bCs/>
          <w:sz w:val="24"/>
        </w:rPr>
        <w:t>, </w:t>
      </w:r>
      <w:r>
        <w:rPr>
          <w:rFonts w:ascii="Times New Roman" w:hAnsi="Times New Roman" w:cs="Times New Roman"/>
          <w:bCs/>
          <w:i/>
          <w:iCs/>
          <w:sz w:val="24"/>
        </w:rPr>
        <w:t>83</w:t>
      </w:r>
      <w:r>
        <w:rPr>
          <w:rFonts w:ascii="Times New Roman" w:hAnsi="Times New Roman" w:cs="Times New Roman"/>
          <w:bCs/>
          <w:sz w:val="24"/>
        </w:rPr>
        <w:t>(40), 445-449.</w:t>
      </w:r>
    </w:p>
    <w:p w14:paraId="2BD11315"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lastRenderedPageBreak/>
        <w:t>Baldocchi</w:t>
      </w:r>
      <w:proofErr w:type="spellEnd"/>
      <w:r>
        <w:rPr>
          <w:rFonts w:ascii="Times New Roman" w:hAnsi="Times New Roman" w:cs="Times New Roman"/>
          <w:bCs/>
          <w:sz w:val="24"/>
        </w:rPr>
        <w:t xml:space="preserve">, D., </w:t>
      </w:r>
      <w:proofErr w:type="spellStart"/>
      <w:r>
        <w:rPr>
          <w:rFonts w:ascii="Times New Roman" w:hAnsi="Times New Roman" w:cs="Times New Roman"/>
          <w:bCs/>
          <w:sz w:val="24"/>
        </w:rPr>
        <w:t>Falge</w:t>
      </w:r>
      <w:proofErr w:type="spellEnd"/>
      <w:r>
        <w:rPr>
          <w:rFonts w:ascii="Times New Roman" w:hAnsi="Times New Roman" w:cs="Times New Roman"/>
          <w:bCs/>
          <w:sz w:val="24"/>
        </w:rPr>
        <w:t xml:space="preserve">, E., Gu, L., Olson, R., Hollinger, D., Running, S. W., </w:t>
      </w:r>
      <w:proofErr w:type="spellStart"/>
      <w:r>
        <w:rPr>
          <w:rFonts w:ascii="Times New Roman" w:hAnsi="Times New Roman" w:cs="Times New Roman"/>
          <w:bCs/>
          <w:sz w:val="24"/>
        </w:rPr>
        <w:t>Anthoni</w:t>
      </w:r>
      <w:proofErr w:type="spellEnd"/>
      <w:r>
        <w:rPr>
          <w:rFonts w:ascii="Times New Roman" w:hAnsi="Times New Roman" w:cs="Times New Roman"/>
          <w:bCs/>
          <w:sz w:val="24"/>
        </w:rPr>
        <w:t xml:space="preserve">, P., </w:t>
      </w:r>
      <w:proofErr w:type="spellStart"/>
      <w:r>
        <w:rPr>
          <w:rFonts w:ascii="Times New Roman" w:hAnsi="Times New Roman" w:cs="Times New Roman"/>
          <w:bCs/>
          <w:sz w:val="24"/>
        </w:rPr>
        <w:t>Bernhofer</w:t>
      </w:r>
      <w:proofErr w:type="spellEnd"/>
      <w:r>
        <w:rPr>
          <w:rFonts w:ascii="Times New Roman" w:hAnsi="Times New Roman" w:cs="Times New Roman"/>
          <w:bCs/>
          <w:sz w:val="24"/>
        </w:rPr>
        <w:t xml:space="preserve">, C., Davis, K., Evans, R., Fuentes, J., Goldstein, A., </w:t>
      </w:r>
      <w:proofErr w:type="spellStart"/>
      <w:r>
        <w:rPr>
          <w:rFonts w:ascii="Times New Roman" w:hAnsi="Times New Roman" w:cs="Times New Roman"/>
          <w:bCs/>
          <w:sz w:val="24"/>
        </w:rPr>
        <w:t>Katul</w:t>
      </w:r>
      <w:proofErr w:type="spellEnd"/>
      <w:r>
        <w:rPr>
          <w:rFonts w:ascii="Times New Roman" w:hAnsi="Times New Roman" w:cs="Times New Roman"/>
          <w:bCs/>
          <w:sz w:val="24"/>
        </w:rPr>
        <w:t xml:space="preserve">, G., Law, B., Lee, X., Malhi, Y., Meyers, T., Munger, W., </w:t>
      </w:r>
      <w:proofErr w:type="spellStart"/>
      <w:r>
        <w:rPr>
          <w:rFonts w:ascii="Times New Roman" w:hAnsi="Times New Roman" w:cs="Times New Roman"/>
          <w:bCs/>
          <w:sz w:val="24"/>
        </w:rPr>
        <w:t>Oechel</w:t>
      </w:r>
      <w:proofErr w:type="spellEnd"/>
      <w:r>
        <w:rPr>
          <w:rFonts w:ascii="Times New Roman" w:hAnsi="Times New Roman" w:cs="Times New Roman"/>
          <w:bCs/>
          <w:sz w:val="24"/>
        </w:rPr>
        <w:t xml:space="preserve">, W., Paw U, K., </w:t>
      </w:r>
      <w:proofErr w:type="spellStart"/>
      <w:r>
        <w:rPr>
          <w:rFonts w:ascii="Times New Roman" w:hAnsi="Times New Roman" w:cs="Times New Roman"/>
          <w:bCs/>
          <w:sz w:val="24"/>
        </w:rPr>
        <w:t>Pilegaard</w:t>
      </w:r>
      <w:proofErr w:type="spellEnd"/>
      <w:r>
        <w:rPr>
          <w:rFonts w:ascii="Times New Roman" w:hAnsi="Times New Roman" w:cs="Times New Roman"/>
          <w:bCs/>
          <w:sz w:val="24"/>
        </w:rPr>
        <w:t xml:space="preserve">, K., Schmid, H., </w:t>
      </w:r>
      <w:proofErr w:type="spellStart"/>
      <w:r>
        <w:rPr>
          <w:rFonts w:ascii="Times New Roman" w:hAnsi="Times New Roman" w:cs="Times New Roman"/>
          <w:bCs/>
          <w:sz w:val="24"/>
        </w:rPr>
        <w:t>Valentini</w:t>
      </w:r>
      <w:proofErr w:type="spellEnd"/>
      <w:r>
        <w:rPr>
          <w:rFonts w:ascii="Times New Roman" w:hAnsi="Times New Roman" w:cs="Times New Roman"/>
          <w:bCs/>
          <w:sz w:val="24"/>
        </w:rPr>
        <w:t xml:space="preserve">, R., Verma, S., </w:t>
      </w:r>
      <w:proofErr w:type="spellStart"/>
      <w:r>
        <w:rPr>
          <w:rFonts w:ascii="Times New Roman" w:hAnsi="Times New Roman" w:cs="Times New Roman"/>
          <w:bCs/>
          <w:sz w:val="24"/>
        </w:rPr>
        <w:t>Vesala</w:t>
      </w:r>
      <w:proofErr w:type="spellEnd"/>
      <w:r>
        <w:rPr>
          <w:rFonts w:ascii="Times New Roman" w:hAnsi="Times New Roman" w:cs="Times New Roman"/>
          <w:bCs/>
          <w:sz w:val="24"/>
        </w:rPr>
        <w:t xml:space="preserve">, T., Wilson, K., and </w:t>
      </w:r>
      <w:proofErr w:type="spellStart"/>
      <w:r>
        <w:rPr>
          <w:rFonts w:ascii="Times New Roman" w:hAnsi="Times New Roman" w:cs="Times New Roman"/>
          <w:bCs/>
          <w:sz w:val="24"/>
        </w:rPr>
        <w:t>Wofsy</w:t>
      </w:r>
      <w:proofErr w:type="spellEnd"/>
      <w:r>
        <w:rPr>
          <w:rFonts w:ascii="Times New Roman" w:hAnsi="Times New Roman" w:cs="Times New Roman"/>
          <w:bCs/>
          <w:sz w:val="24"/>
        </w:rPr>
        <w:t>, S. (2001). FLUXNET: A new tool to study the temporal and spatial variability of ecosystem-scale carbon dioxide, water vapor, and energy flux densities. </w:t>
      </w:r>
      <w:r>
        <w:rPr>
          <w:rFonts w:ascii="Times New Roman" w:hAnsi="Times New Roman" w:cs="Times New Roman"/>
          <w:bCs/>
          <w:i/>
          <w:iCs/>
          <w:sz w:val="24"/>
        </w:rPr>
        <w:t>Bulletin of the American Meteorological Society</w:t>
      </w:r>
      <w:r>
        <w:rPr>
          <w:rFonts w:ascii="Times New Roman" w:hAnsi="Times New Roman" w:cs="Times New Roman"/>
          <w:bCs/>
          <w:sz w:val="24"/>
        </w:rPr>
        <w:t>, </w:t>
      </w:r>
      <w:r>
        <w:rPr>
          <w:rFonts w:ascii="Times New Roman" w:hAnsi="Times New Roman" w:cs="Times New Roman"/>
          <w:bCs/>
          <w:i/>
          <w:iCs/>
          <w:sz w:val="24"/>
        </w:rPr>
        <w:t>82</w:t>
      </w:r>
      <w:r>
        <w:rPr>
          <w:rFonts w:ascii="Times New Roman" w:hAnsi="Times New Roman" w:cs="Times New Roman"/>
          <w:bCs/>
          <w:sz w:val="24"/>
        </w:rPr>
        <w:t>(11), 2415-2434.</w:t>
      </w:r>
    </w:p>
    <w:p w14:paraId="2C2E33C0"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Chase, T. N., Pielke Sr, R., Kittel, T. G. F., Zhao, M., Pitman, A. J.,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R. R. (2001). Relative climatic effects of landcover change and elevated carbon dioxide combined with aerosols- A comparison of model results and observations. </w:t>
      </w:r>
      <w:r>
        <w:rPr>
          <w:rFonts w:ascii="Times New Roman" w:hAnsi="Times New Roman" w:cs="Times New Roman"/>
          <w:bCs/>
          <w:i/>
          <w:iCs/>
          <w:sz w:val="24"/>
        </w:rPr>
        <w:t>Journal of Geophysical Research. D. Atmospheres</w:t>
      </w:r>
      <w:r>
        <w:rPr>
          <w:rFonts w:ascii="Times New Roman" w:hAnsi="Times New Roman" w:cs="Times New Roman"/>
          <w:bCs/>
          <w:sz w:val="24"/>
        </w:rPr>
        <w:t xml:space="preserve">, </w:t>
      </w:r>
      <w:r>
        <w:rPr>
          <w:rFonts w:ascii="Times New Roman" w:hAnsi="Times New Roman" w:cs="Times New Roman"/>
          <w:bCs/>
          <w:i/>
          <w:iCs/>
          <w:sz w:val="24"/>
        </w:rPr>
        <w:t>106</w:t>
      </w:r>
      <w:r>
        <w:rPr>
          <w:rFonts w:ascii="Times New Roman" w:hAnsi="Times New Roman" w:cs="Times New Roman"/>
          <w:bCs/>
          <w:sz w:val="24"/>
        </w:rPr>
        <w:t xml:space="preserve">, 31. </w:t>
      </w:r>
    </w:p>
    <w:p w14:paraId="73A228F9"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Coops, N. C., Waring, R. H., Brown, S. R., and Running, S. W. (2001). Comparisons of predictions of net primary production and seasonal patterns in water use derived with two forest growth models in Southwestern Oregon. </w:t>
      </w:r>
      <w:r>
        <w:rPr>
          <w:rFonts w:ascii="Times New Roman" w:hAnsi="Times New Roman" w:cs="Times New Roman"/>
          <w:bCs/>
          <w:i/>
          <w:iCs/>
          <w:sz w:val="24"/>
        </w:rPr>
        <w:t>Ecological Modelling</w:t>
      </w:r>
      <w:r>
        <w:rPr>
          <w:rFonts w:ascii="Times New Roman" w:hAnsi="Times New Roman" w:cs="Times New Roman"/>
          <w:bCs/>
          <w:sz w:val="24"/>
        </w:rPr>
        <w:t>, </w:t>
      </w:r>
      <w:r>
        <w:rPr>
          <w:rFonts w:ascii="Times New Roman" w:hAnsi="Times New Roman" w:cs="Times New Roman"/>
          <w:bCs/>
          <w:i/>
          <w:iCs/>
          <w:sz w:val="24"/>
        </w:rPr>
        <w:t>142</w:t>
      </w:r>
      <w:r>
        <w:rPr>
          <w:rFonts w:ascii="Times New Roman" w:hAnsi="Times New Roman" w:cs="Times New Roman"/>
          <w:bCs/>
          <w:sz w:val="24"/>
        </w:rPr>
        <w:t>(1), 61-81.</w:t>
      </w:r>
    </w:p>
    <w:p w14:paraId="04575951"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Nemani</w:t>
      </w:r>
      <w:proofErr w:type="spellEnd"/>
      <w:r>
        <w:rPr>
          <w:rFonts w:ascii="Times New Roman" w:hAnsi="Times New Roman" w:cs="Times New Roman"/>
          <w:bCs/>
          <w:sz w:val="24"/>
        </w:rPr>
        <w:t>, R. R., White, M. A., Cayan, D. R., Jones, G. V., Running, S. W., Coughlan, J. C., and Peterson, D. L. (2001). Asymmetric warming over coastal California and its impact on the premium wine industry. </w:t>
      </w:r>
      <w:r>
        <w:rPr>
          <w:rFonts w:ascii="Times New Roman" w:hAnsi="Times New Roman" w:cs="Times New Roman"/>
          <w:bCs/>
          <w:i/>
          <w:iCs/>
          <w:sz w:val="24"/>
        </w:rPr>
        <w:t>Climate research</w:t>
      </w:r>
      <w:r>
        <w:rPr>
          <w:rFonts w:ascii="Times New Roman" w:hAnsi="Times New Roman" w:cs="Times New Roman"/>
          <w:bCs/>
          <w:sz w:val="24"/>
        </w:rPr>
        <w:t xml:space="preserve">, </w:t>
      </w:r>
      <w:r>
        <w:rPr>
          <w:rFonts w:ascii="Times New Roman" w:hAnsi="Times New Roman" w:cs="Times New Roman"/>
          <w:bCs/>
          <w:i/>
          <w:iCs/>
          <w:sz w:val="24"/>
        </w:rPr>
        <w:t>19</w:t>
      </w:r>
      <w:r>
        <w:rPr>
          <w:rFonts w:ascii="Times New Roman" w:hAnsi="Times New Roman" w:cs="Times New Roman"/>
          <w:bCs/>
          <w:sz w:val="24"/>
        </w:rPr>
        <w:t xml:space="preserve">(1), 25-34. </w:t>
      </w:r>
    </w:p>
    <w:p w14:paraId="0C527A9B"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Reeves, M. C., Winslow, J. C., &amp; Running, S. W. (2001). Mapping weekly rangeland vegetation productivity using MODIS algorithms. </w:t>
      </w:r>
      <w:r>
        <w:rPr>
          <w:rFonts w:ascii="Times New Roman" w:hAnsi="Times New Roman" w:cs="Times New Roman"/>
          <w:bCs/>
          <w:i/>
          <w:iCs/>
          <w:sz w:val="24"/>
        </w:rPr>
        <w:t>Journal of Range Management</w:t>
      </w:r>
      <w:r>
        <w:rPr>
          <w:rFonts w:ascii="Times New Roman" w:hAnsi="Times New Roman" w:cs="Times New Roman"/>
          <w:bCs/>
          <w:sz w:val="24"/>
        </w:rPr>
        <w:t>, </w:t>
      </w:r>
      <w:r>
        <w:rPr>
          <w:rFonts w:ascii="Times New Roman" w:hAnsi="Times New Roman" w:cs="Times New Roman"/>
          <w:bCs/>
          <w:i/>
          <w:iCs/>
          <w:sz w:val="24"/>
        </w:rPr>
        <w:t>54</w:t>
      </w:r>
      <w:r>
        <w:rPr>
          <w:rFonts w:ascii="Times New Roman" w:hAnsi="Times New Roman" w:cs="Times New Roman"/>
          <w:bCs/>
          <w:sz w:val="24"/>
        </w:rPr>
        <w:t>(2), A90-A105.</w:t>
      </w:r>
    </w:p>
    <w:p w14:paraId="435F7A8C" w14:textId="77777777" w:rsidR="0078185C" w:rsidRDefault="00000000">
      <w:pPr>
        <w:pStyle w:val="PlainText"/>
        <w:ind w:left="720" w:hanging="720"/>
        <w:jc w:val="both"/>
        <w:rPr>
          <w:rFonts w:ascii="Times New Roman" w:hAnsi="Times New Roman" w:cs="Times New Roman"/>
          <w:bCs/>
          <w:sz w:val="24"/>
        </w:rPr>
      </w:pPr>
      <w:proofErr w:type="spellStart"/>
      <w:r>
        <w:rPr>
          <w:rFonts w:ascii="Times New Roman" w:hAnsi="Times New Roman" w:cs="Times New Roman"/>
          <w:bCs/>
          <w:sz w:val="24"/>
        </w:rPr>
        <w:t>Canadell</w:t>
      </w:r>
      <w:proofErr w:type="spellEnd"/>
      <w:r>
        <w:rPr>
          <w:rFonts w:ascii="Times New Roman" w:hAnsi="Times New Roman" w:cs="Times New Roman"/>
          <w:bCs/>
          <w:sz w:val="24"/>
        </w:rPr>
        <w:t xml:space="preserve">, J. G., Mooney, H. A., </w:t>
      </w:r>
      <w:proofErr w:type="spellStart"/>
      <w:r>
        <w:rPr>
          <w:rFonts w:ascii="Times New Roman" w:hAnsi="Times New Roman" w:cs="Times New Roman"/>
          <w:bCs/>
          <w:sz w:val="24"/>
        </w:rPr>
        <w:t>Baldocchi</w:t>
      </w:r>
      <w:proofErr w:type="spellEnd"/>
      <w:r>
        <w:rPr>
          <w:rFonts w:ascii="Times New Roman" w:hAnsi="Times New Roman" w:cs="Times New Roman"/>
          <w:bCs/>
          <w:sz w:val="24"/>
        </w:rPr>
        <w:t xml:space="preserve">, D. D., Berry, J. A., </w:t>
      </w:r>
      <w:proofErr w:type="spellStart"/>
      <w:r>
        <w:rPr>
          <w:rFonts w:ascii="Times New Roman" w:hAnsi="Times New Roman" w:cs="Times New Roman"/>
          <w:bCs/>
          <w:sz w:val="24"/>
        </w:rPr>
        <w:t>Ehleringer</w:t>
      </w:r>
      <w:proofErr w:type="spellEnd"/>
      <w:r>
        <w:rPr>
          <w:rFonts w:ascii="Times New Roman" w:hAnsi="Times New Roman" w:cs="Times New Roman"/>
          <w:bCs/>
          <w:sz w:val="24"/>
        </w:rPr>
        <w:t xml:space="preserve">, J. R., Field, C. B., Gower, S. T., Hollinger, D. Y., Hunt, J. E., Jackson, R. B., Running, S. W., Shaver, G. R., Steffen, W., </w:t>
      </w:r>
      <w:proofErr w:type="spellStart"/>
      <w:r>
        <w:rPr>
          <w:rFonts w:ascii="Times New Roman" w:hAnsi="Times New Roman" w:cs="Times New Roman"/>
          <w:bCs/>
          <w:sz w:val="24"/>
        </w:rPr>
        <w:t>Trumbore</w:t>
      </w:r>
      <w:proofErr w:type="spellEnd"/>
      <w:r>
        <w:rPr>
          <w:rFonts w:ascii="Times New Roman" w:hAnsi="Times New Roman" w:cs="Times New Roman"/>
          <w:bCs/>
          <w:sz w:val="24"/>
        </w:rPr>
        <w:t xml:space="preserve">, S. E., </w:t>
      </w:r>
      <w:proofErr w:type="spellStart"/>
      <w:r>
        <w:rPr>
          <w:rFonts w:ascii="Times New Roman" w:hAnsi="Times New Roman" w:cs="Times New Roman"/>
          <w:bCs/>
          <w:sz w:val="24"/>
        </w:rPr>
        <w:t>Valentini</w:t>
      </w:r>
      <w:proofErr w:type="spellEnd"/>
      <w:r>
        <w:rPr>
          <w:rFonts w:ascii="Times New Roman" w:hAnsi="Times New Roman" w:cs="Times New Roman"/>
          <w:bCs/>
          <w:sz w:val="24"/>
        </w:rPr>
        <w:t xml:space="preserve">,  R., and Bond, B. Y. (2000). Commentary: Carbon metabolism of the terrestrial biosphere: A </w:t>
      </w:r>
      <w:proofErr w:type="spellStart"/>
      <w:r>
        <w:rPr>
          <w:rFonts w:ascii="Times New Roman" w:hAnsi="Times New Roman" w:cs="Times New Roman"/>
          <w:bCs/>
          <w:sz w:val="24"/>
        </w:rPr>
        <w:t>multitechnique</w:t>
      </w:r>
      <w:proofErr w:type="spellEnd"/>
      <w:r>
        <w:rPr>
          <w:rFonts w:ascii="Times New Roman" w:hAnsi="Times New Roman" w:cs="Times New Roman"/>
          <w:bCs/>
          <w:sz w:val="24"/>
        </w:rPr>
        <w:t xml:space="preserve"> approach for improved understanding. </w:t>
      </w:r>
      <w:r>
        <w:rPr>
          <w:rFonts w:ascii="Times New Roman" w:hAnsi="Times New Roman" w:cs="Times New Roman"/>
          <w:bCs/>
          <w:i/>
          <w:iCs/>
          <w:sz w:val="24"/>
        </w:rPr>
        <w:t>Ecosystems</w:t>
      </w:r>
      <w:r>
        <w:rPr>
          <w:rFonts w:ascii="Times New Roman" w:hAnsi="Times New Roman" w:cs="Times New Roman"/>
          <w:bCs/>
          <w:sz w:val="24"/>
        </w:rPr>
        <w:t>, </w:t>
      </w:r>
      <w:r>
        <w:rPr>
          <w:rFonts w:ascii="Times New Roman" w:hAnsi="Times New Roman" w:cs="Times New Roman"/>
          <w:bCs/>
          <w:i/>
          <w:iCs/>
          <w:sz w:val="24"/>
        </w:rPr>
        <w:t>3</w:t>
      </w:r>
      <w:r>
        <w:rPr>
          <w:rFonts w:ascii="Times New Roman" w:hAnsi="Times New Roman" w:cs="Times New Roman"/>
          <w:bCs/>
          <w:sz w:val="24"/>
        </w:rPr>
        <w:t>(2), 115-130.</w:t>
      </w:r>
    </w:p>
    <w:p w14:paraId="716D7810"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(2000). Why the earth observing system matters to all of us. </w:t>
      </w:r>
      <w:r>
        <w:rPr>
          <w:rFonts w:ascii="Times New Roman" w:hAnsi="Times New Roman" w:cs="Times New Roman"/>
          <w:bCs/>
          <w:i/>
          <w:sz w:val="24"/>
        </w:rPr>
        <w:t>The Earth Observer,</w:t>
      </w:r>
      <w:r>
        <w:rPr>
          <w:rFonts w:ascii="Times New Roman" w:hAnsi="Times New Roman" w:cs="Times New Roman"/>
          <w:bCs/>
          <w:sz w:val="24"/>
        </w:rPr>
        <w:t xml:space="preserve"> </w:t>
      </w:r>
      <w:r>
        <w:rPr>
          <w:rFonts w:ascii="Times New Roman" w:hAnsi="Times New Roman" w:cs="Times New Roman"/>
          <w:bCs/>
          <w:i/>
          <w:sz w:val="24"/>
        </w:rPr>
        <w:t>12</w:t>
      </w:r>
      <w:r>
        <w:rPr>
          <w:rFonts w:ascii="Times New Roman" w:hAnsi="Times New Roman" w:cs="Times New Roman"/>
          <w:bCs/>
          <w:sz w:val="24"/>
        </w:rPr>
        <w:t>(1), 9-10.</w:t>
      </w:r>
    </w:p>
    <w:p w14:paraId="2CC2594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Running, S. W., Queen, L., Thornton, M. (2000). The Earth Observing System and Forest Management</w:t>
      </w:r>
      <w:r>
        <w:rPr>
          <w:rFonts w:ascii="Times New Roman" w:hAnsi="Times New Roman" w:cs="Times New Roman"/>
          <w:bCs/>
          <w:i/>
          <w:sz w:val="24"/>
        </w:rPr>
        <w:t>.  Journal of Forestry</w:t>
      </w:r>
      <w:r>
        <w:rPr>
          <w:rFonts w:ascii="Times New Roman" w:hAnsi="Times New Roman" w:cs="Times New Roman"/>
          <w:bCs/>
          <w:sz w:val="24"/>
        </w:rPr>
        <w:t xml:space="preserve">, </w:t>
      </w:r>
      <w:r>
        <w:rPr>
          <w:rFonts w:ascii="Times New Roman" w:hAnsi="Times New Roman" w:cs="Times New Roman"/>
          <w:bCs/>
          <w:i/>
          <w:sz w:val="24"/>
        </w:rPr>
        <w:t>98</w:t>
      </w:r>
      <w:r>
        <w:rPr>
          <w:rFonts w:ascii="Times New Roman" w:hAnsi="Times New Roman" w:cs="Times New Roman"/>
          <w:bCs/>
          <w:sz w:val="24"/>
        </w:rPr>
        <w:t>(6), 29-31.</w:t>
      </w:r>
    </w:p>
    <w:p w14:paraId="3EA19780"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Thornton, P. E., </w:t>
      </w:r>
      <w:proofErr w:type="spellStart"/>
      <w:r>
        <w:rPr>
          <w:rFonts w:ascii="Times New Roman" w:hAnsi="Times New Roman" w:cs="Times New Roman"/>
          <w:bCs/>
          <w:sz w:val="24"/>
        </w:rPr>
        <w:t>Nemani</w:t>
      </w:r>
      <w:proofErr w:type="spellEnd"/>
      <w:r>
        <w:rPr>
          <w:rFonts w:ascii="Times New Roman" w:hAnsi="Times New Roman" w:cs="Times New Roman"/>
          <w:bCs/>
          <w:sz w:val="24"/>
        </w:rPr>
        <w:t>, R., and Glassy, J. M. (2000). Global terrestrial gross and net primary productivity from the earth observing system. In </w:t>
      </w:r>
      <w:r>
        <w:rPr>
          <w:rFonts w:ascii="Times New Roman" w:hAnsi="Times New Roman" w:cs="Times New Roman"/>
          <w:bCs/>
          <w:i/>
          <w:iCs/>
          <w:sz w:val="24"/>
        </w:rPr>
        <w:t>Methods in ecosystem science</w:t>
      </w:r>
      <w:r>
        <w:rPr>
          <w:rFonts w:ascii="Times New Roman" w:hAnsi="Times New Roman" w:cs="Times New Roman"/>
          <w:bCs/>
          <w:sz w:val="24"/>
        </w:rPr>
        <w:t> (pp. 44-57). Springer New York.</w:t>
      </w:r>
    </w:p>
    <w:p w14:paraId="2EE79853"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Tian, Y., Zhang, Y., </w:t>
      </w:r>
      <w:proofErr w:type="spellStart"/>
      <w:r>
        <w:rPr>
          <w:rFonts w:ascii="Times New Roman" w:hAnsi="Times New Roman" w:cs="Times New Roman"/>
          <w:bCs/>
          <w:sz w:val="24"/>
        </w:rPr>
        <w:t>Knyazikhin</w:t>
      </w:r>
      <w:proofErr w:type="spellEnd"/>
      <w:r>
        <w:rPr>
          <w:rFonts w:ascii="Times New Roman" w:hAnsi="Times New Roman" w:cs="Times New Roman"/>
          <w:bCs/>
          <w:sz w:val="24"/>
        </w:rPr>
        <w:t xml:space="preserve">, Y., Myneni, R. B., Glassy, J. M., </w:t>
      </w:r>
      <w:proofErr w:type="spellStart"/>
      <w:r>
        <w:rPr>
          <w:rFonts w:ascii="Times New Roman" w:hAnsi="Times New Roman" w:cs="Times New Roman"/>
          <w:bCs/>
          <w:sz w:val="24"/>
        </w:rPr>
        <w:t>Dedieu</w:t>
      </w:r>
      <w:proofErr w:type="spellEnd"/>
      <w:r>
        <w:rPr>
          <w:rFonts w:ascii="Times New Roman" w:hAnsi="Times New Roman" w:cs="Times New Roman"/>
          <w:bCs/>
          <w:sz w:val="24"/>
        </w:rPr>
        <w:t>, G., and Running, S. W. (2000). Prototyping of MODIS LAI and FPAR algorithm with LASUR and LANDSAT data. </w:t>
      </w:r>
      <w:r>
        <w:rPr>
          <w:rFonts w:ascii="Times New Roman" w:hAnsi="Times New Roman" w:cs="Times New Roman"/>
          <w:bCs/>
          <w:i/>
          <w:iCs/>
          <w:sz w:val="24"/>
        </w:rPr>
        <w:t>Geoscience and Remote Sensing, IEEE Transactions on</w:t>
      </w:r>
      <w:r>
        <w:rPr>
          <w:rFonts w:ascii="Times New Roman" w:hAnsi="Times New Roman" w:cs="Times New Roman"/>
          <w:bCs/>
          <w:sz w:val="24"/>
        </w:rPr>
        <w:t>, </w:t>
      </w:r>
      <w:r>
        <w:rPr>
          <w:rFonts w:ascii="Times New Roman" w:hAnsi="Times New Roman" w:cs="Times New Roman"/>
          <w:bCs/>
          <w:i/>
          <w:iCs/>
          <w:sz w:val="24"/>
        </w:rPr>
        <w:t>38</w:t>
      </w:r>
      <w:r>
        <w:rPr>
          <w:rFonts w:ascii="Times New Roman" w:hAnsi="Times New Roman" w:cs="Times New Roman"/>
          <w:bCs/>
          <w:sz w:val="24"/>
        </w:rPr>
        <w:t>(5), 2387-2401.</w:t>
      </w:r>
    </w:p>
    <w:p w14:paraId="25D1BF7E"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White, M. A., Thornton, P. E.,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R. R. (2000). Parameterization and sensitivity analysis of the BIOME-BGC terrestrial ecosystem model: net primary production controls. </w:t>
      </w:r>
      <w:r>
        <w:rPr>
          <w:rFonts w:ascii="Times New Roman" w:hAnsi="Times New Roman" w:cs="Times New Roman"/>
          <w:bCs/>
          <w:i/>
          <w:iCs/>
          <w:sz w:val="24"/>
        </w:rPr>
        <w:t>Earth interactions</w:t>
      </w:r>
      <w:r>
        <w:rPr>
          <w:rFonts w:ascii="Times New Roman" w:hAnsi="Times New Roman" w:cs="Times New Roman"/>
          <w:bCs/>
          <w:sz w:val="24"/>
        </w:rPr>
        <w:t>, </w:t>
      </w:r>
      <w:r>
        <w:rPr>
          <w:rFonts w:ascii="Times New Roman" w:hAnsi="Times New Roman" w:cs="Times New Roman"/>
          <w:bCs/>
          <w:i/>
          <w:iCs/>
          <w:sz w:val="24"/>
        </w:rPr>
        <w:t>4</w:t>
      </w:r>
      <w:r>
        <w:rPr>
          <w:rFonts w:ascii="Times New Roman" w:hAnsi="Times New Roman" w:cs="Times New Roman"/>
          <w:bCs/>
          <w:sz w:val="24"/>
        </w:rPr>
        <w:t>(3), 1-85.</w:t>
      </w:r>
    </w:p>
    <w:p w14:paraId="65BE1F1D" w14:textId="77777777" w:rsidR="0078185C" w:rsidRDefault="0078185C">
      <w:pPr>
        <w:pStyle w:val="PlainText"/>
        <w:ind w:left="720" w:hanging="720"/>
        <w:jc w:val="both"/>
        <w:rPr>
          <w:rFonts w:ascii="Times New Roman" w:hAnsi="Times New Roman" w:cs="Times New Roman"/>
          <w:b/>
          <w:bCs/>
          <w:sz w:val="28"/>
        </w:rPr>
      </w:pPr>
    </w:p>
    <w:p w14:paraId="6AFAB436" w14:textId="77777777" w:rsidR="0078185C" w:rsidRDefault="0078185C">
      <w:pPr>
        <w:pStyle w:val="PlainText"/>
        <w:ind w:left="720" w:hanging="720"/>
        <w:jc w:val="both"/>
        <w:rPr>
          <w:rFonts w:ascii="Times New Roman" w:hAnsi="Times New Roman" w:cs="Times New Roman"/>
          <w:b/>
          <w:bCs/>
          <w:sz w:val="28"/>
        </w:rPr>
      </w:pPr>
    </w:p>
    <w:p w14:paraId="042C5D41" w14:textId="77777777" w:rsidR="0078185C" w:rsidRDefault="0078185C">
      <w:pPr>
        <w:pStyle w:val="PlainText"/>
        <w:ind w:left="720" w:hanging="720"/>
        <w:jc w:val="both"/>
        <w:rPr>
          <w:rFonts w:ascii="Times New Roman" w:hAnsi="Times New Roman" w:cs="Times New Roman"/>
          <w:b/>
          <w:bCs/>
          <w:sz w:val="28"/>
        </w:rPr>
      </w:pPr>
    </w:p>
    <w:p w14:paraId="4D2E12B8" w14:textId="77777777" w:rsidR="0078185C" w:rsidRDefault="0078185C">
      <w:pPr>
        <w:pStyle w:val="PlainText"/>
        <w:ind w:left="720" w:hanging="720"/>
        <w:jc w:val="both"/>
        <w:rPr>
          <w:rFonts w:ascii="Times New Roman" w:hAnsi="Times New Roman" w:cs="Times New Roman"/>
          <w:b/>
          <w:bCs/>
          <w:sz w:val="28"/>
        </w:rPr>
      </w:pPr>
    </w:p>
    <w:p w14:paraId="308F224F" w14:textId="77777777" w:rsidR="0078185C" w:rsidRDefault="0078185C">
      <w:pPr>
        <w:pStyle w:val="PlainText"/>
        <w:ind w:left="720" w:hanging="720"/>
        <w:jc w:val="both"/>
        <w:rPr>
          <w:rFonts w:ascii="Times New Roman" w:hAnsi="Times New Roman" w:cs="Times New Roman"/>
          <w:b/>
          <w:bCs/>
          <w:sz w:val="28"/>
        </w:rPr>
      </w:pPr>
    </w:p>
    <w:p w14:paraId="5E6D6F63" w14:textId="77777777" w:rsidR="0078185C" w:rsidRDefault="0078185C">
      <w:pPr>
        <w:pStyle w:val="PlainText"/>
        <w:ind w:left="720" w:hanging="720"/>
        <w:jc w:val="both"/>
        <w:rPr>
          <w:rFonts w:ascii="Times New Roman" w:hAnsi="Times New Roman" w:cs="Times New Roman"/>
          <w:b/>
          <w:bCs/>
          <w:sz w:val="28"/>
        </w:rPr>
      </w:pPr>
    </w:p>
    <w:p w14:paraId="7B969857" w14:textId="77777777" w:rsidR="0078185C" w:rsidRDefault="0078185C">
      <w:pPr>
        <w:pStyle w:val="PlainText"/>
        <w:ind w:left="720" w:hanging="720"/>
        <w:jc w:val="both"/>
        <w:rPr>
          <w:rFonts w:ascii="Times New Roman" w:hAnsi="Times New Roman" w:cs="Times New Roman"/>
          <w:b/>
          <w:bCs/>
          <w:sz w:val="28"/>
        </w:rPr>
      </w:pPr>
    </w:p>
    <w:p w14:paraId="62A1F980" w14:textId="77777777" w:rsidR="0078185C" w:rsidRDefault="0078185C" w:rsidP="00B83A58">
      <w:pPr>
        <w:pStyle w:val="PlainText"/>
        <w:jc w:val="both"/>
        <w:rPr>
          <w:rFonts w:ascii="Times New Roman" w:hAnsi="Times New Roman" w:cs="Times New Roman"/>
          <w:b/>
          <w:bCs/>
          <w:sz w:val="28"/>
        </w:rPr>
      </w:pPr>
    </w:p>
    <w:p w14:paraId="7797E7DE" w14:textId="77777777" w:rsidR="0078185C" w:rsidRDefault="00000000">
      <w:pPr>
        <w:pStyle w:val="Heading1"/>
        <w:rPr>
          <w:i/>
        </w:rPr>
      </w:pPr>
      <w:bookmarkStart w:id="28" w:name="_Toc181041999"/>
      <w:r>
        <w:lastRenderedPageBreak/>
        <w:t>REFERENCES</w:t>
      </w:r>
      <w:bookmarkEnd w:id="28"/>
    </w:p>
    <w:p w14:paraId="54019EBD"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Abdi, H., </w:t>
      </w:r>
      <w:proofErr w:type="spellStart"/>
      <w:r>
        <w:rPr>
          <w:rFonts w:ascii="Times New Roman" w:hAnsi="Times New Roman" w:cs="Times New Roman"/>
          <w:bCs/>
          <w:sz w:val="24"/>
        </w:rPr>
        <w:t>Seaquist</w:t>
      </w:r>
      <w:proofErr w:type="spellEnd"/>
      <w:r>
        <w:rPr>
          <w:rFonts w:ascii="Times New Roman" w:hAnsi="Times New Roman" w:cs="Times New Roman"/>
          <w:bCs/>
          <w:sz w:val="24"/>
        </w:rPr>
        <w:t xml:space="preserve">, J., Tenenbaum, D., </w:t>
      </w:r>
      <w:proofErr w:type="spellStart"/>
      <w:r>
        <w:rPr>
          <w:rFonts w:ascii="Times New Roman" w:hAnsi="Times New Roman" w:cs="Times New Roman"/>
          <w:bCs/>
          <w:sz w:val="24"/>
        </w:rPr>
        <w:t>Eklundh</w:t>
      </w:r>
      <w:proofErr w:type="spellEnd"/>
      <w:r>
        <w:rPr>
          <w:rFonts w:ascii="Times New Roman" w:hAnsi="Times New Roman" w:cs="Times New Roman"/>
          <w:bCs/>
          <w:sz w:val="24"/>
        </w:rPr>
        <w:t xml:space="preserve">, L., and </w:t>
      </w:r>
      <w:proofErr w:type="spellStart"/>
      <w:r>
        <w:rPr>
          <w:rFonts w:ascii="Times New Roman" w:hAnsi="Times New Roman" w:cs="Times New Roman"/>
          <w:bCs/>
          <w:sz w:val="24"/>
        </w:rPr>
        <w:t>Ardö</w:t>
      </w:r>
      <w:proofErr w:type="spellEnd"/>
      <w:r>
        <w:rPr>
          <w:rFonts w:ascii="Times New Roman" w:hAnsi="Times New Roman" w:cs="Times New Roman"/>
          <w:bCs/>
          <w:sz w:val="24"/>
        </w:rPr>
        <w:t>, J. (2014). The supply and demand of net primary production in the Sahel</w:t>
      </w:r>
      <w:r>
        <w:rPr>
          <w:rFonts w:ascii="Times New Roman" w:hAnsi="Times New Roman" w:cs="Times New Roman"/>
          <w:bCs/>
          <w:i/>
          <w:sz w:val="24"/>
        </w:rPr>
        <w:t>. Environmental Research Letters</w:t>
      </w:r>
      <w:r>
        <w:rPr>
          <w:rFonts w:ascii="Times New Roman" w:hAnsi="Times New Roman" w:cs="Times New Roman"/>
          <w:bCs/>
          <w:sz w:val="24"/>
        </w:rPr>
        <w:t xml:space="preserve">, </w:t>
      </w:r>
      <w:r>
        <w:rPr>
          <w:rFonts w:ascii="Times New Roman" w:hAnsi="Times New Roman" w:cs="Times New Roman"/>
          <w:bCs/>
          <w:i/>
          <w:sz w:val="24"/>
        </w:rPr>
        <w:t>9</w:t>
      </w:r>
      <w:r>
        <w:rPr>
          <w:rFonts w:ascii="Times New Roman" w:hAnsi="Times New Roman" w:cs="Times New Roman"/>
          <w:bCs/>
          <w:sz w:val="24"/>
        </w:rPr>
        <w:t>(9), 094003-11.</w:t>
      </w:r>
    </w:p>
    <w:p w14:paraId="612C126C"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Allred, B. W., Smith, W. K., </w:t>
      </w:r>
      <w:proofErr w:type="spellStart"/>
      <w:r>
        <w:rPr>
          <w:rFonts w:ascii="Times New Roman" w:hAnsi="Times New Roman" w:cs="Times New Roman"/>
          <w:bCs/>
          <w:sz w:val="24"/>
        </w:rPr>
        <w:t>Twidwell</w:t>
      </w:r>
      <w:proofErr w:type="spellEnd"/>
      <w:r>
        <w:rPr>
          <w:rFonts w:ascii="Times New Roman" w:hAnsi="Times New Roman" w:cs="Times New Roman"/>
          <w:bCs/>
          <w:sz w:val="24"/>
        </w:rPr>
        <w:t xml:space="preserve">, D., Haggerty, J. H., Running, S. W., Naugle, D. E., and </w:t>
      </w:r>
      <w:proofErr w:type="spellStart"/>
      <w:r>
        <w:rPr>
          <w:rFonts w:ascii="Times New Roman" w:hAnsi="Times New Roman" w:cs="Times New Roman"/>
          <w:bCs/>
          <w:sz w:val="24"/>
        </w:rPr>
        <w:t>Fuhlendorf</w:t>
      </w:r>
      <w:proofErr w:type="spellEnd"/>
      <w:r>
        <w:rPr>
          <w:rFonts w:ascii="Times New Roman" w:hAnsi="Times New Roman" w:cs="Times New Roman"/>
          <w:bCs/>
          <w:sz w:val="24"/>
        </w:rPr>
        <w:t xml:space="preserve">, S. D. (2015). Ecosystem services lost to oil and gas in North America. </w:t>
      </w:r>
      <w:r>
        <w:rPr>
          <w:rFonts w:ascii="Times New Roman" w:hAnsi="Times New Roman" w:cs="Times New Roman"/>
          <w:bCs/>
          <w:i/>
          <w:sz w:val="24"/>
        </w:rPr>
        <w:t>Scienc</w:t>
      </w:r>
      <w:r>
        <w:rPr>
          <w:rFonts w:ascii="Times New Roman" w:hAnsi="Times New Roman" w:cs="Times New Roman"/>
          <w:bCs/>
          <w:sz w:val="24"/>
        </w:rPr>
        <w:t xml:space="preserve">e, </w:t>
      </w:r>
      <w:r>
        <w:rPr>
          <w:rFonts w:ascii="Times New Roman" w:hAnsi="Times New Roman" w:cs="Times New Roman"/>
          <w:bCs/>
          <w:i/>
          <w:sz w:val="24"/>
        </w:rPr>
        <w:t>348</w:t>
      </w:r>
      <w:r>
        <w:rPr>
          <w:rFonts w:ascii="Times New Roman" w:hAnsi="Times New Roman" w:cs="Times New Roman"/>
          <w:bCs/>
          <w:sz w:val="24"/>
        </w:rPr>
        <w:t xml:space="preserve">(6233). </w:t>
      </w:r>
    </w:p>
    <w:p w14:paraId="2E8F94CD"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Bastos, A., Running, S. W., Gouveia, C., and Trigo, R. M. (2013). The global NPP dependence on ENSO: La Niña and the extraordinary year of 2011. </w:t>
      </w:r>
      <w:r>
        <w:rPr>
          <w:rFonts w:ascii="Times New Roman" w:hAnsi="Times New Roman" w:cs="Times New Roman"/>
          <w:bCs/>
          <w:i/>
          <w:sz w:val="24"/>
        </w:rPr>
        <w:t xml:space="preserve">Journal of Geophysical Research: </w:t>
      </w:r>
      <w:proofErr w:type="spellStart"/>
      <w:r>
        <w:rPr>
          <w:rFonts w:ascii="Times New Roman" w:hAnsi="Times New Roman" w:cs="Times New Roman"/>
          <w:bCs/>
          <w:i/>
          <w:sz w:val="24"/>
        </w:rPr>
        <w:t>Biogeosciences</w:t>
      </w:r>
      <w:proofErr w:type="spellEnd"/>
      <w:r>
        <w:rPr>
          <w:rFonts w:ascii="Times New Roman" w:hAnsi="Times New Roman" w:cs="Times New Roman"/>
          <w:bCs/>
          <w:sz w:val="24"/>
        </w:rPr>
        <w:t xml:space="preserve">, </w:t>
      </w:r>
      <w:r>
        <w:rPr>
          <w:rFonts w:ascii="Times New Roman" w:hAnsi="Times New Roman" w:cs="Times New Roman"/>
          <w:bCs/>
          <w:i/>
          <w:sz w:val="24"/>
        </w:rPr>
        <w:t>118</w:t>
      </w:r>
      <w:r>
        <w:rPr>
          <w:rFonts w:ascii="Times New Roman" w:hAnsi="Times New Roman" w:cs="Times New Roman"/>
          <w:bCs/>
          <w:sz w:val="24"/>
        </w:rPr>
        <w:t>(3), 1247-1255.</w:t>
      </w:r>
      <w:r>
        <w:fldChar w:fldCharType="begin"/>
      </w:r>
      <w:r>
        <w:rPr>
          <w:rFonts w:ascii="Times New Roman" w:hAnsi="Times New Roman" w:cs="Times New Roman"/>
          <w:bCs/>
          <w:sz w:val="24"/>
        </w:rPr>
        <w:instrText>ADDIN ENBbu</w:instrText>
      </w:r>
      <w:r>
        <w:rPr>
          <w:rFonts w:ascii="Times New Roman" w:hAnsi="Times New Roman" w:cs="Times New Roman"/>
          <w:bCs/>
          <w:sz w:val="24"/>
        </w:rPr>
        <w:fldChar w:fldCharType="separate"/>
      </w:r>
    </w:p>
    <w:p w14:paraId="639C3AE4"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Belward, A. S., Estes, J. E., and Kline, K. D. (1999). The IGBP-DIS global 1-km land-cover data set DISCover: A project overview. </w:t>
      </w:r>
      <w:r>
        <w:rPr>
          <w:rFonts w:ascii="Times New Roman" w:hAnsi="Times New Roman" w:cs="Times New Roman"/>
          <w:bCs/>
          <w:i/>
          <w:sz w:val="24"/>
        </w:rPr>
        <w:t>Photogrammetric Engineering and Remote Sensing</w:t>
      </w:r>
      <w:r>
        <w:rPr>
          <w:rFonts w:ascii="Times New Roman" w:hAnsi="Times New Roman" w:cs="Times New Roman"/>
          <w:bCs/>
          <w:sz w:val="24"/>
        </w:rPr>
        <w:t xml:space="preserve">, </w:t>
      </w:r>
      <w:r>
        <w:rPr>
          <w:rFonts w:ascii="Times New Roman" w:hAnsi="Times New Roman" w:cs="Times New Roman"/>
          <w:bCs/>
          <w:i/>
          <w:sz w:val="24"/>
        </w:rPr>
        <w:t>65</w:t>
      </w:r>
      <w:r>
        <w:rPr>
          <w:rFonts w:ascii="Times New Roman" w:hAnsi="Times New Roman" w:cs="Times New Roman"/>
          <w:bCs/>
          <w:sz w:val="24"/>
        </w:rPr>
        <w:t>(9), 1013</w:t>
      </w:r>
      <w:r>
        <w:rPr>
          <w:rFonts w:ascii="Times New Roman" w:hAnsi="Times New Roman" w:cs="Times New Roman"/>
        </w:rPr>
        <w:t>-</w:t>
      </w:r>
      <w:r>
        <w:rPr>
          <w:rFonts w:ascii="Times New Roman" w:hAnsi="Times New Roman" w:cs="Times New Roman"/>
          <w:bCs/>
          <w:sz w:val="24"/>
        </w:rPr>
        <w:t xml:space="preserve">1020. </w:t>
      </w:r>
    </w:p>
    <w:p w14:paraId="1F4631F0"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Cannell, M. (1982). </w:t>
      </w:r>
      <w:r>
        <w:rPr>
          <w:rFonts w:ascii="Times New Roman" w:hAnsi="Times New Roman" w:cs="Times New Roman"/>
          <w:bCs/>
          <w:i/>
          <w:sz w:val="24"/>
        </w:rPr>
        <w:t>World Forest Biomass and Primary Production Data</w:t>
      </w:r>
      <w:r>
        <w:rPr>
          <w:rFonts w:ascii="Times New Roman" w:hAnsi="Times New Roman" w:cs="Times New Roman"/>
          <w:bCs/>
          <w:sz w:val="24"/>
        </w:rPr>
        <w:t>. Academic Press: London.</w:t>
      </w:r>
    </w:p>
    <w:p w14:paraId="0D0A51E9" w14:textId="77777777" w:rsidR="0078185C" w:rsidRDefault="00000000">
      <w:pPr>
        <w:snapToGrid w:val="0"/>
        <w:ind w:left="720" w:hanging="720"/>
        <w:jc w:val="both"/>
        <w:rPr>
          <w:szCs w:val="20"/>
        </w:rPr>
      </w:pPr>
      <w:r>
        <w:rPr>
          <w:szCs w:val="20"/>
        </w:rPr>
        <w:t xml:space="preserve">Cannell, M. G. R., and Thornley, J. H. M. (2000). Modelling the components of plant respiration: some guiding principles. </w:t>
      </w:r>
      <w:r>
        <w:rPr>
          <w:i/>
          <w:szCs w:val="20"/>
        </w:rPr>
        <w:t>Annals of Botany</w:t>
      </w:r>
      <w:r>
        <w:rPr>
          <w:szCs w:val="20"/>
        </w:rPr>
        <w:t xml:space="preserve">, </w:t>
      </w:r>
      <w:r>
        <w:rPr>
          <w:i/>
          <w:szCs w:val="20"/>
        </w:rPr>
        <w:t>85</w:t>
      </w:r>
      <w:r>
        <w:rPr>
          <w:szCs w:val="20"/>
        </w:rPr>
        <w:t>(1), 45-54.</w:t>
      </w:r>
    </w:p>
    <w:p w14:paraId="5D8FE504" w14:textId="77777777" w:rsidR="0078185C" w:rsidRDefault="00000000">
      <w:pPr>
        <w:snapToGrid w:val="0"/>
        <w:ind w:left="720" w:hanging="720"/>
        <w:jc w:val="both"/>
        <w:rPr>
          <w:b/>
          <w:i/>
        </w:rPr>
      </w:pPr>
      <w:r>
        <w:t xml:space="preserve">Cleveland, C. C., Houlton, B. Z., Smith, W. K., Marklein, A. R., Reed, S. C., Parton, W., </w:t>
      </w:r>
      <w:r>
        <w:rPr>
          <w:bCs/>
        </w:rPr>
        <w:t>DelGrasso</w:t>
      </w:r>
      <w:r>
        <w:t xml:space="preserve">, S. J., and Running, S. W. (2013). Patterns of new versus recycled primary production in the terrestrial biosphere. </w:t>
      </w:r>
      <w:r>
        <w:rPr>
          <w:i/>
        </w:rPr>
        <w:t>Proceedings of the National Academy of Sciences</w:t>
      </w:r>
      <w:r>
        <w:t xml:space="preserve">, </w:t>
      </w:r>
      <w:r>
        <w:rPr>
          <w:i/>
        </w:rPr>
        <w:t>110</w:t>
      </w:r>
      <w:r>
        <w:t>(31), 12733-12737.</w:t>
      </w:r>
    </w:p>
    <w:p w14:paraId="0C9544CE"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Cleveland, C. C., Houlton, B. Z., Smith, W. K., Marklein, A. R., Reed, S. C., Parton, W., Del Grosso, S. J., and Running, S. W. (2013). Patterns of new versus recycled primary production in the terrestrial biosphere. </w:t>
      </w:r>
      <w:r>
        <w:rPr>
          <w:rFonts w:ascii="Times New Roman" w:hAnsi="Times New Roman" w:cs="Times New Roman"/>
          <w:bCs/>
          <w:i/>
          <w:sz w:val="24"/>
        </w:rPr>
        <w:t>Proceedings of the National Academy of Sciences</w:t>
      </w:r>
      <w:r>
        <w:rPr>
          <w:rFonts w:ascii="Times New Roman" w:hAnsi="Times New Roman" w:cs="Times New Roman"/>
          <w:bCs/>
          <w:sz w:val="24"/>
        </w:rPr>
        <w:t xml:space="preserve">, </w:t>
      </w:r>
      <w:r>
        <w:rPr>
          <w:rFonts w:ascii="Times New Roman" w:hAnsi="Times New Roman" w:cs="Times New Roman"/>
          <w:bCs/>
          <w:i/>
          <w:sz w:val="24"/>
        </w:rPr>
        <w:t>110</w:t>
      </w:r>
      <w:r>
        <w:rPr>
          <w:rFonts w:ascii="Times New Roman" w:hAnsi="Times New Roman" w:cs="Times New Roman"/>
          <w:bCs/>
          <w:sz w:val="24"/>
        </w:rPr>
        <w:t>(31), 12733-12737.</w:t>
      </w:r>
    </w:p>
    <w:p w14:paraId="02FBE498" w14:textId="7F0FAE4D" w:rsidR="00A86EC1" w:rsidRDefault="00A86EC1">
      <w:pPr>
        <w:pStyle w:val="PlainText"/>
        <w:ind w:left="720" w:hanging="720"/>
        <w:jc w:val="both"/>
        <w:rPr>
          <w:rFonts w:ascii="Times New Roman" w:hAnsi="Times New Roman" w:cs="Times New Roman"/>
          <w:bCs/>
          <w:sz w:val="24"/>
        </w:rPr>
      </w:pPr>
      <w:r w:rsidRPr="00977C54">
        <w:rPr>
          <w:rFonts w:ascii="Times New Roman" w:hAnsi="Times New Roman" w:cs="Times New Roman"/>
          <w:bCs/>
          <w:sz w:val="24"/>
        </w:rPr>
        <w:t>Du, J., J. S. Kimball, J. Sheffield, I. Velicogna, M. Zhao, M. Pan, C. K. Fisher, H. E. Beck, J. D. Watts, G. A, and E. F. Wood. 2021. Synergistic Satellite Assessment of Global Vegetation Health in Relation to ENSO‐Induced Droughts and Pluvials. </w:t>
      </w:r>
      <w:r w:rsidRPr="00977C54">
        <w:rPr>
          <w:rFonts w:ascii="Times New Roman" w:hAnsi="Times New Roman" w:cs="Times New Roman"/>
          <w:bCs/>
          <w:i/>
          <w:iCs/>
          <w:sz w:val="24"/>
        </w:rPr>
        <w:t>Journal of Geophysical Research: Biogeosciences</w:t>
      </w:r>
      <w:r w:rsidRPr="00977C54">
        <w:rPr>
          <w:rFonts w:ascii="Times New Roman" w:hAnsi="Times New Roman" w:cs="Times New Roman"/>
          <w:bCs/>
          <w:sz w:val="24"/>
        </w:rPr>
        <w:t> 126 (5).</w:t>
      </w:r>
    </w:p>
    <w:p w14:paraId="26433C16" w14:textId="66480558" w:rsidR="007852CC" w:rsidRDefault="007852CC">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Endsley, </w:t>
      </w:r>
      <w:r w:rsidRPr="007852CC">
        <w:rPr>
          <w:rFonts w:ascii="Times New Roman" w:hAnsi="Times New Roman" w:cs="Times New Roman"/>
          <w:bCs/>
          <w:sz w:val="24"/>
        </w:rPr>
        <w:t xml:space="preserve">M. Zhao, J.S. Kimball, S. Devadiga (2023) Continuity of global MODIS terrestrial primary productivity estimates in the VIIRS era using model-data fusion. Journal of geophysical research, </w:t>
      </w:r>
      <w:r w:rsidRPr="00977C54">
        <w:rPr>
          <w:rFonts w:ascii="Times New Roman" w:hAnsi="Times New Roman" w:cs="Times New Roman"/>
          <w:bCs/>
          <w:i/>
          <w:iCs/>
          <w:sz w:val="24"/>
        </w:rPr>
        <w:t>Journal of Geophysical Research: Biogeosciences</w:t>
      </w:r>
      <w:r w:rsidRPr="00977C54">
        <w:rPr>
          <w:rFonts w:ascii="Times New Roman" w:hAnsi="Times New Roman" w:cs="Times New Roman"/>
          <w:bCs/>
          <w:sz w:val="24"/>
        </w:rPr>
        <w:t> </w:t>
      </w:r>
      <w:r w:rsidRPr="007852CC">
        <w:rPr>
          <w:rFonts w:ascii="Times New Roman" w:hAnsi="Times New Roman" w:cs="Times New Roman"/>
          <w:bCs/>
          <w:sz w:val="24"/>
        </w:rPr>
        <w:t>128 (9), </w:t>
      </w:r>
      <w:hyperlink r:id="rId42" w:tgtFrame="_blank" w:history="1">
        <w:r w:rsidRPr="007852CC">
          <w:rPr>
            <w:rFonts w:ascii="Times New Roman" w:hAnsi="Times New Roman" w:cs="Times New Roman"/>
            <w:sz w:val="24"/>
          </w:rPr>
          <w:t>10.1029/2023JG007457</w:t>
        </w:r>
      </w:hyperlink>
    </w:p>
    <w:p w14:paraId="44D540E8" w14:textId="77777777" w:rsidR="0078185C" w:rsidRDefault="00000000">
      <w:pPr>
        <w:snapToGrid w:val="0"/>
        <w:ind w:left="720" w:hanging="720"/>
        <w:jc w:val="both"/>
        <w:rPr>
          <w:szCs w:val="20"/>
        </w:rPr>
      </w:pPr>
      <w:r>
        <w:rPr>
          <w:szCs w:val="20"/>
        </w:rPr>
        <w:t xml:space="preserve">Field, C. B., Randerson, J. T., and Malmstrom, C. M. (1995).  Global net primary production:  Combining ecology and remote sensing.  </w:t>
      </w:r>
      <w:r>
        <w:rPr>
          <w:i/>
          <w:szCs w:val="20"/>
        </w:rPr>
        <w:t>Remote Sensing of Environment</w:t>
      </w:r>
      <w:r>
        <w:rPr>
          <w:szCs w:val="20"/>
        </w:rPr>
        <w:t xml:space="preserve">, </w:t>
      </w:r>
      <w:r>
        <w:rPr>
          <w:i/>
          <w:szCs w:val="20"/>
        </w:rPr>
        <w:t>51</w:t>
      </w:r>
      <w:r>
        <w:rPr>
          <w:szCs w:val="20"/>
        </w:rPr>
        <w:t>(1), 74-88.</w:t>
      </w:r>
    </w:p>
    <w:p w14:paraId="5CBCA92C" w14:textId="77777777" w:rsidR="0078185C"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rPr>
          <w:szCs w:val="20"/>
        </w:rPr>
      </w:pPr>
      <w:r>
        <w:rPr>
          <w:szCs w:val="20"/>
        </w:rPr>
        <w:t xml:space="preserve">Friedl, M. A., Sulla-Menashe, D., Tan, B., Schneider, A., Ramankutty, N., Sibley, A., and Huang, X. (2010). MODIS Collection 5 global land cover: Algorithm refinements and characterization of new datasets. </w:t>
      </w:r>
      <w:r>
        <w:rPr>
          <w:i/>
          <w:szCs w:val="20"/>
        </w:rPr>
        <w:t>Remote Sensing of Environment</w:t>
      </w:r>
      <w:r>
        <w:rPr>
          <w:szCs w:val="20"/>
        </w:rPr>
        <w:t xml:space="preserve">, </w:t>
      </w:r>
      <w:r>
        <w:rPr>
          <w:i/>
          <w:szCs w:val="20"/>
        </w:rPr>
        <w:t>114</w:t>
      </w:r>
      <w:r>
        <w:rPr>
          <w:szCs w:val="20"/>
        </w:rPr>
        <w:t>(1): 168-182.</w:t>
      </w:r>
    </w:p>
    <w:p w14:paraId="7C59F3B9" w14:textId="1D2A6B33" w:rsidR="00D9082A" w:rsidRPr="007E05A2" w:rsidRDefault="00D9082A" w:rsidP="00977C54">
      <w:pPr>
        <w:pStyle w:val="Bibliography"/>
        <w:ind w:left="720" w:hanging="720"/>
      </w:pPr>
      <w:bookmarkStart w:id="29" w:name="ref-Fu2017"/>
      <w:r>
        <w:t>F</w:t>
      </w:r>
      <w:r w:rsidRPr="007E05A2">
        <w:rPr>
          <w:szCs w:val="20"/>
        </w:rPr>
        <w:t>u, G., J. Zhang, Z.-X. Shen, P.-L. Shi, Y.-T. He, and X.-Z. Zhang. 2017. Validation of collection of 6 MODIS/Terra and MODIS/Aqua gross primary production in an alpine meadow of the</w:t>
      </w:r>
      <w:r w:rsidRPr="007E05A2">
        <w:t xml:space="preserve"> Northern Tibetan Plateau. </w:t>
      </w:r>
      <w:r w:rsidRPr="007E05A2">
        <w:rPr>
          <w:i/>
          <w:iCs/>
        </w:rPr>
        <w:t>International Journal of Remote Sensing</w:t>
      </w:r>
      <w:r w:rsidRPr="007E05A2">
        <w:t xml:space="preserve"> 38 (16):4517–4534. </w:t>
      </w:r>
    </w:p>
    <w:bookmarkEnd w:id="29"/>
    <w:p w14:paraId="5FBCAD5C" w14:textId="76C921A6" w:rsidR="00D9082A" w:rsidRPr="007E05A2" w:rsidRDefault="007E05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pPr>
      <w:r w:rsidRPr="00977C54">
        <w:t>Gherardi, L. A., &amp; Sala, O. E. (2020). Global patterns and climatic controls of belowground net carbon fixation. Proceedings of the National Academy of Sciences, 117(33), 20038-20043.</w:t>
      </w:r>
    </w:p>
    <w:p w14:paraId="701067BC" w14:textId="77777777" w:rsidR="0078185C" w:rsidRPr="007E05A2"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pPr>
      <w:r w:rsidRPr="007E05A2">
        <w:t xml:space="preserve">Haberl, H., Erb, K. H., and Krausmann, F. (2014). Human appropriation of net primary production: patterns, trends, and planetary boundaries. </w:t>
      </w:r>
      <w:r w:rsidRPr="007E05A2">
        <w:rPr>
          <w:i/>
          <w:iCs/>
        </w:rPr>
        <w:t>Annual Review of Environment and Resources</w:t>
      </w:r>
      <w:r w:rsidRPr="007E05A2">
        <w:t xml:space="preserve">, </w:t>
      </w:r>
      <w:r w:rsidRPr="00977C54">
        <w:t>39</w:t>
      </w:r>
      <w:r w:rsidRPr="007E05A2">
        <w:t xml:space="preserve">, 363-391. </w:t>
      </w:r>
    </w:p>
    <w:p w14:paraId="6F8DE783" w14:textId="62A82188" w:rsidR="00D9082A" w:rsidRPr="007E05A2" w:rsidRDefault="00D9082A" w:rsidP="00977C54">
      <w:pPr>
        <w:pStyle w:val="Bibliography"/>
        <w:ind w:left="720" w:hanging="720"/>
      </w:pPr>
      <w:bookmarkStart w:id="30" w:name="ref-Huang2018"/>
      <w:r>
        <w:lastRenderedPageBreak/>
        <w:t xml:space="preserve">Huang, X., M. Ma, X. Wang, X. Tang, and H. Yang. 2018. The uncertainty analysis of the MODIS GPP product in global maize croplands. </w:t>
      </w:r>
      <w:r>
        <w:rPr>
          <w:i/>
        </w:rPr>
        <w:t>Frontiers of Earth Science</w:t>
      </w:r>
      <w:r>
        <w:t xml:space="preserve"> 12 (4):739–749.</w:t>
      </w:r>
      <w:bookmarkEnd w:id="30"/>
    </w:p>
    <w:p w14:paraId="0E0C12D6"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Heinsch, F. A., Zhao, M., Running, S. W., Kimball, J. S., Nemani, R. R., Davis, K. J., Bolstad, P. V., Cook, B. D., Desai, A. R., Ricciuto, D. M.,  Law, B. E., Oechel, W. C., Kwon, H., Luo, H., Wofsy, S. C.,Dunn, A. L., Munger, J. W., Baldocchi, D. D., Xu, L., Hollinger, D. Y. , Richardson, A. D., Stoy, P. C., Siqueira, M. B. S., Monson, R. K., Burns, S. P., and Flanagan, L. B.  (2006).  Evaluation of Remote Sensing Based Terrestrial Productivity from MODIS Using Regional Tower Eddy Flux Network Observations.  </w:t>
      </w:r>
      <w:r>
        <w:rPr>
          <w:rFonts w:ascii="Times New Roman" w:hAnsi="Times New Roman" w:cs="Times New Roman"/>
          <w:bCs/>
          <w:i/>
          <w:sz w:val="24"/>
        </w:rPr>
        <w:t>IEEE Transactions on Geoscience and Remote Sensing</w:t>
      </w:r>
      <w:r>
        <w:rPr>
          <w:rFonts w:ascii="Times New Roman" w:hAnsi="Times New Roman" w:cs="Times New Roman"/>
          <w:bCs/>
          <w:sz w:val="24"/>
        </w:rPr>
        <w:t>,</w:t>
      </w:r>
      <w:r>
        <w:rPr>
          <w:rFonts w:ascii="Times New Roman" w:hAnsi="Times New Roman" w:cs="Times New Roman"/>
          <w:bCs/>
          <w:i/>
          <w:sz w:val="24"/>
        </w:rPr>
        <w:t xml:space="preserve"> 44</w:t>
      </w:r>
      <w:r>
        <w:rPr>
          <w:rFonts w:ascii="Times New Roman" w:hAnsi="Times New Roman" w:cs="Times New Roman"/>
          <w:bCs/>
          <w:sz w:val="24"/>
        </w:rPr>
        <w:t>(7),1908-1925.</w:t>
      </w:r>
    </w:p>
    <w:p w14:paraId="099A488F"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Hunt, E. J. (1994). Relationship between woody biomass and PAR conversion efficiency for estimating net primary production from NDVI. </w:t>
      </w:r>
      <w:r>
        <w:rPr>
          <w:rFonts w:ascii="Times New Roman" w:hAnsi="Times New Roman" w:cs="Times New Roman"/>
          <w:bCs/>
          <w:i/>
          <w:sz w:val="24"/>
        </w:rPr>
        <w:t>International Journal of Remote Sensing</w:t>
      </w:r>
      <w:r>
        <w:rPr>
          <w:rFonts w:ascii="Times New Roman" w:hAnsi="Times New Roman" w:cs="Times New Roman"/>
          <w:bCs/>
          <w:sz w:val="24"/>
        </w:rPr>
        <w:t xml:space="preserve">, </w:t>
      </w:r>
      <w:r>
        <w:rPr>
          <w:rFonts w:ascii="Times New Roman" w:hAnsi="Times New Roman" w:cs="Times New Roman"/>
          <w:bCs/>
          <w:i/>
          <w:sz w:val="24"/>
        </w:rPr>
        <w:t>15</w:t>
      </w:r>
      <w:r>
        <w:rPr>
          <w:rFonts w:ascii="Times New Roman" w:hAnsi="Times New Roman" w:cs="Times New Roman"/>
          <w:bCs/>
          <w:sz w:val="24"/>
        </w:rPr>
        <w:t>(8), 1725-1730.</w:t>
      </w:r>
    </w:p>
    <w:p w14:paraId="79C3B24D" w14:textId="1FFDDAF3"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Ito, A. (2011). A historical meta</w:t>
      </w:r>
      <w:r>
        <w:rPr>
          <w:rFonts w:ascii="Cambria Math" w:hAnsi="Cambria Math" w:cs="Cambria Math"/>
          <w:bCs/>
          <w:sz w:val="24"/>
        </w:rPr>
        <w:t>‐</w:t>
      </w:r>
      <w:r>
        <w:rPr>
          <w:rFonts w:ascii="Times New Roman" w:hAnsi="Times New Roman" w:cs="Times New Roman"/>
          <w:bCs/>
          <w:sz w:val="24"/>
        </w:rPr>
        <w:t xml:space="preserve">analysis of global terrestrial net primary productivity: are estimates converging? </w:t>
      </w:r>
      <w:r>
        <w:rPr>
          <w:rFonts w:ascii="Times New Roman" w:hAnsi="Times New Roman" w:cs="Times New Roman"/>
          <w:bCs/>
          <w:i/>
          <w:sz w:val="24"/>
        </w:rPr>
        <w:t>Global Change Biology</w:t>
      </w:r>
      <w:r>
        <w:rPr>
          <w:rFonts w:ascii="Times New Roman" w:hAnsi="Times New Roman" w:cs="Times New Roman"/>
          <w:bCs/>
          <w:sz w:val="24"/>
        </w:rPr>
        <w:t xml:space="preserve">, </w:t>
      </w:r>
      <w:r>
        <w:rPr>
          <w:rFonts w:ascii="Times New Roman" w:hAnsi="Times New Roman" w:cs="Times New Roman"/>
          <w:bCs/>
          <w:i/>
          <w:sz w:val="24"/>
        </w:rPr>
        <w:t>17</w:t>
      </w:r>
      <w:r>
        <w:rPr>
          <w:rFonts w:ascii="Times New Roman" w:hAnsi="Times New Roman" w:cs="Times New Roman"/>
          <w:bCs/>
          <w:sz w:val="24"/>
        </w:rPr>
        <w:t>(10), 3161-3175.</w:t>
      </w:r>
    </w:p>
    <w:p w14:paraId="4CBA8569" w14:textId="78D40EB9" w:rsidR="00DE4855" w:rsidRDefault="00DE4855">
      <w:pPr>
        <w:pStyle w:val="PlainText"/>
        <w:snapToGrid w:val="0"/>
        <w:ind w:left="720" w:hanging="720"/>
        <w:jc w:val="both"/>
        <w:rPr>
          <w:rFonts w:ascii="Times New Roman" w:hAnsi="Times New Roman" w:cs="Times New Roman"/>
          <w:bCs/>
          <w:sz w:val="24"/>
        </w:rPr>
      </w:pPr>
      <w:r w:rsidRPr="00DE4855">
        <w:rPr>
          <w:rFonts w:ascii="Times New Roman" w:hAnsi="Times New Roman" w:cs="Times New Roman"/>
          <w:bCs/>
          <w:sz w:val="24"/>
        </w:rPr>
        <w:t>Kattge, J., Bönisch, G., Díaz, S., Lavorel, S., Prentice, I. C., Leadley, P., et al. (2020). TRY plant trait database—Enhanced coverage and open access. </w:t>
      </w:r>
      <w:r w:rsidRPr="00DE4855">
        <w:rPr>
          <w:rFonts w:ascii="Times New Roman" w:hAnsi="Times New Roman" w:cs="Times New Roman"/>
          <w:bCs/>
          <w:i/>
          <w:iCs/>
          <w:sz w:val="24"/>
        </w:rPr>
        <w:t>Global Change Biology</w:t>
      </w:r>
      <w:r w:rsidRPr="00DE4855">
        <w:rPr>
          <w:rFonts w:ascii="Times New Roman" w:hAnsi="Times New Roman" w:cs="Times New Roman"/>
          <w:bCs/>
          <w:sz w:val="24"/>
        </w:rPr>
        <w:t>, </w:t>
      </w:r>
      <w:r w:rsidRPr="00DE4855">
        <w:rPr>
          <w:rFonts w:ascii="Times New Roman" w:hAnsi="Times New Roman" w:cs="Times New Roman"/>
          <w:sz w:val="24"/>
        </w:rPr>
        <w:t>26</w:t>
      </w:r>
      <w:r w:rsidRPr="00DE4855">
        <w:rPr>
          <w:rFonts w:ascii="Times New Roman" w:hAnsi="Times New Roman" w:cs="Times New Roman"/>
          <w:bCs/>
          <w:sz w:val="24"/>
        </w:rPr>
        <w:t>(1), 119–188.</w:t>
      </w:r>
    </w:p>
    <w:p w14:paraId="35A081BE" w14:textId="77777777" w:rsidR="0078185C" w:rsidRDefault="00000000">
      <w:pPr>
        <w:ind w:left="720" w:hanging="720"/>
        <w:rPr>
          <w:b/>
          <w:i/>
        </w:rPr>
      </w:pPr>
      <w:r>
        <w:t xml:space="preserve">Keeling, C. D., Whorf, T. P., Wahlen, M., &amp; Van der Plichtt, J. (1995). Interannual extremes in the rate of rise of atmospheric carbon dioxide since 1980. </w:t>
      </w:r>
      <w:r>
        <w:rPr>
          <w:i/>
          <w:iCs/>
        </w:rPr>
        <w:t>Nature</w:t>
      </w:r>
      <w:r>
        <w:t xml:space="preserve">, </w:t>
      </w:r>
      <w:r>
        <w:rPr>
          <w:i/>
          <w:iCs/>
        </w:rPr>
        <w:t>375</w:t>
      </w:r>
      <w:r>
        <w:t>(6533), 666-670.</w:t>
      </w:r>
      <w:r>
        <w:rPr>
          <w:bCs/>
        </w:rPr>
        <w:tab/>
      </w:r>
    </w:p>
    <w:p w14:paraId="4DB57DC6"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Madani, N., Kimball, J. S., Affleck, D. L., Kattge, J., Graham, J., Bodegom, P. M., Reich, P. B.,  and Running, S. W. (2014). Improving ecosystem productivity modeling through spatially explicit estimation of optimal light use efficiency. </w:t>
      </w:r>
      <w:r>
        <w:rPr>
          <w:rFonts w:ascii="Times New Roman" w:hAnsi="Times New Roman" w:cs="Times New Roman"/>
          <w:bCs/>
          <w:i/>
          <w:sz w:val="24"/>
        </w:rPr>
        <w:t>Journal of Geophysical Research: Biogeosciences</w:t>
      </w:r>
      <w:r>
        <w:rPr>
          <w:rFonts w:ascii="Times New Roman" w:hAnsi="Times New Roman" w:cs="Times New Roman"/>
          <w:bCs/>
          <w:sz w:val="24"/>
        </w:rPr>
        <w:t xml:space="preserve">, </w:t>
      </w:r>
      <w:r>
        <w:rPr>
          <w:rFonts w:ascii="Times New Roman" w:hAnsi="Times New Roman" w:cs="Times New Roman"/>
          <w:bCs/>
          <w:i/>
          <w:sz w:val="24"/>
        </w:rPr>
        <w:t>119</w:t>
      </w:r>
      <w:r>
        <w:rPr>
          <w:rFonts w:ascii="Times New Roman" w:hAnsi="Times New Roman" w:cs="Times New Roman"/>
          <w:bCs/>
          <w:sz w:val="24"/>
        </w:rPr>
        <w:t>(9), 1755-1769.</w:t>
      </w:r>
    </w:p>
    <w:p w14:paraId="242BF88E" w14:textId="77777777" w:rsidR="0078185C" w:rsidRDefault="00000000">
      <w:pPr>
        <w:snapToGrid w:val="0"/>
        <w:ind w:left="720" w:hanging="720"/>
        <w:jc w:val="both"/>
        <w:rPr>
          <w:b/>
          <w:i/>
        </w:rPr>
      </w:pPr>
      <w:r>
        <w:t xml:space="preserve">Mildrexler, D. J., M. Zhao, F. A. Heinsch, S. W. Running (2007). A new satellite-based methodology for continental-scale disturbance detection. </w:t>
      </w:r>
      <w:r>
        <w:rPr>
          <w:i/>
          <w:iCs/>
        </w:rPr>
        <w:t>Ecological Applications</w:t>
      </w:r>
      <w:r>
        <w:t>, 17: 235-250.</w:t>
      </w:r>
    </w:p>
    <w:p w14:paraId="7BC235DF"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Mildrexler, D. J., M. Zhao, S. W. Running (2009). Testing a MODIS Global Disturbance Index across North America. </w:t>
      </w:r>
      <w:r>
        <w:rPr>
          <w:rFonts w:ascii="Times New Roman" w:hAnsi="Times New Roman" w:cs="Times New Roman"/>
          <w:bCs/>
          <w:i/>
          <w:iCs/>
          <w:sz w:val="24"/>
        </w:rPr>
        <w:t>Remote Sensing of Environment</w:t>
      </w:r>
      <w:r>
        <w:rPr>
          <w:rFonts w:ascii="Times New Roman" w:hAnsi="Times New Roman" w:cs="Times New Roman"/>
          <w:bCs/>
          <w:sz w:val="24"/>
        </w:rPr>
        <w:t>, 113: 2103-2117.</w:t>
      </w:r>
    </w:p>
    <w:p w14:paraId="525D75D9"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Monteith, J. (1972). Solar radiation and productivity in tropical ecosystems. </w:t>
      </w:r>
      <w:r>
        <w:rPr>
          <w:rFonts w:ascii="Times New Roman" w:hAnsi="Times New Roman" w:cs="Times New Roman"/>
          <w:bCs/>
          <w:i/>
          <w:sz w:val="24"/>
        </w:rPr>
        <w:t xml:space="preserve"> Journal of Applied Ecology</w:t>
      </w:r>
      <w:r>
        <w:rPr>
          <w:rFonts w:ascii="Times New Roman" w:hAnsi="Times New Roman" w:cs="Times New Roman"/>
          <w:bCs/>
          <w:sz w:val="24"/>
        </w:rPr>
        <w:t xml:space="preserve">, </w:t>
      </w:r>
      <w:r>
        <w:rPr>
          <w:rFonts w:ascii="Times New Roman" w:hAnsi="Times New Roman" w:cs="Times New Roman"/>
          <w:bCs/>
          <w:i/>
          <w:sz w:val="24"/>
        </w:rPr>
        <w:t>9</w:t>
      </w:r>
      <w:r>
        <w:rPr>
          <w:rFonts w:ascii="Times New Roman" w:hAnsi="Times New Roman" w:cs="Times New Roman"/>
          <w:bCs/>
          <w:sz w:val="24"/>
        </w:rPr>
        <w:t>(3), 747-766.</w:t>
      </w:r>
    </w:p>
    <w:p w14:paraId="49581209"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Mora, C., Caldwell, I. R., Caldwell, J. M., Fisher, M. R., Genco, B. M., &amp; Running, S. W. (2015). Suitable days for plant growth disappear under projected climate change: Potential human and biotic vulnerability. </w:t>
      </w:r>
      <w:r>
        <w:rPr>
          <w:rFonts w:ascii="Times New Roman" w:hAnsi="Times New Roman" w:cs="Times New Roman"/>
          <w:bCs/>
          <w:i/>
          <w:sz w:val="24"/>
        </w:rPr>
        <w:t>PLoS biology</w:t>
      </w:r>
      <w:r>
        <w:rPr>
          <w:rFonts w:ascii="Times New Roman" w:hAnsi="Times New Roman" w:cs="Times New Roman"/>
          <w:bCs/>
          <w:sz w:val="24"/>
        </w:rPr>
        <w:t xml:space="preserve">, </w:t>
      </w:r>
      <w:r>
        <w:rPr>
          <w:rFonts w:ascii="Times New Roman" w:hAnsi="Times New Roman" w:cs="Times New Roman"/>
          <w:bCs/>
          <w:i/>
          <w:sz w:val="24"/>
        </w:rPr>
        <w:t>13</w:t>
      </w:r>
      <w:r>
        <w:rPr>
          <w:rFonts w:ascii="Times New Roman" w:hAnsi="Times New Roman" w:cs="Times New Roman"/>
          <w:bCs/>
          <w:sz w:val="24"/>
        </w:rPr>
        <w:t>(6), e1002167.</w:t>
      </w:r>
    </w:p>
    <w:p w14:paraId="5825F86C" w14:textId="77777777" w:rsidR="0078185C"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rPr>
          <w:szCs w:val="20"/>
        </w:rPr>
      </w:pPr>
      <w:r>
        <w:rPr>
          <w:szCs w:val="20"/>
        </w:rPr>
        <w:t xml:space="preserve">Myneni, R. B., Hoffman S., Knyazikhin, Y., Privette, J., Glassy, J., Tian, Y., Wang, Y., Song, X., Zhang, Y., Smith, G. R., Lotsch, A., Friedl, M., Morisette, J. T., Votava, P., Nemani, R. R., Running, S. W.. (2002). Global products of vegetation leaf area and fraction absorbed PAR from year one of MODIS data. </w:t>
      </w:r>
      <w:r w:rsidRPr="007E05A2">
        <w:rPr>
          <w:i/>
          <w:iCs/>
          <w:szCs w:val="20"/>
        </w:rPr>
        <w:t>Remote Sensing of Environment</w:t>
      </w:r>
      <w:r>
        <w:rPr>
          <w:szCs w:val="20"/>
        </w:rPr>
        <w:t xml:space="preserve">, </w:t>
      </w:r>
      <w:r w:rsidRPr="00977C54">
        <w:rPr>
          <w:szCs w:val="20"/>
        </w:rPr>
        <w:t>83</w:t>
      </w:r>
      <w:r>
        <w:rPr>
          <w:szCs w:val="20"/>
        </w:rPr>
        <w:t>(1):214-231.</w:t>
      </w:r>
    </w:p>
    <w:p w14:paraId="4F14C948" w14:textId="77777777" w:rsidR="007E05A2" w:rsidRDefault="00000000" w:rsidP="00977C54">
      <w:pPr>
        <w:pStyle w:val="BodyTextIndent"/>
        <w:snapToGrid w:val="0"/>
        <w:spacing w:after="0"/>
        <w:ind w:left="720" w:hanging="720"/>
        <w:jc w:val="both"/>
        <w:rPr>
          <w:rFonts w:ascii="Times New Roman" w:eastAsia="Times New Roman" w:hAnsi="Times New Roman" w:cs="Times New Roman"/>
          <w:bCs w:val="0"/>
          <w:szCs w:val="20"/>
        </w:rPr>
      </w:pPr>
      <w:r w:rsidRPr="00977C54">
        <w:rPr>
          <w:rFonts w:ascii="Times New Roman" w:eastAsia="Times New Roman" w:hAnsi="Times New Roman" w:cs="Times New Roman"/>
          <w:bCs w:val="0"/>
          <w:szCs w:val="20"/>
        </w:rPr>
        <w:t xml:space="preserve">Nemani R. R., Keeling, C. D., Hashimoto, H., Jolly, W.M., Piper, S. C., Tucker, C. J., Myneni, R. B., Running, S. W., (2003). Climate-Driven Increases in Global Terrestrial Net Primary Production from 1982 to 1999. </w:t>
      </w:r>
      <w:r w:rsidRPr="00977C54">
        <w:rPr>
          <w:rFonts w:ascii="Times New Roman" w:eastAsia="Times New Roman" w:hAnsi="Times New Roman" w:cs="Times New Roman"/>
          <w:bCs w:val="0"/>
          <w:i/>
          <w:iCs/>
          <w:szCs w:val="20"/>
        </w:rPr>
        <w:t>Science</w:t>
      </w:r>
      <w:r w:rsidRPr="00977C54">
        <w:rPr>
          <w:rFonts w:ascii="Times New Roman" w:eastAsia="Times New Roman" w:hAnsi="Times New Roman" w:cs="Times New Roman"/>
          <w:bCs w:val="0"/>
          <w:szCs w:val="20"/>
        </w:rPr>
        <w:t>, 300(5625):1560-1563.</w:t>
      </w:r>
    </w:p>
    <w:p w14:paraId="499BB8C0" w14:textId="78722C27" w:rsidR="007E05A2" w:rsidRPr="00964083" w:rsidRDefault="007E05A2" w:rsidP="00977C54">
      <w:pPr>
        <w:pStyle w:val="BodyTextIndent"/>
        <w:snapToGrid w:val="0"/>
        <w:spacing w:after="0"/>
        <w:ind w:left="720" w:hanging="720"/>
        <w:jc w:val="both"/>
        <w:rPr>
          <w:rFonts w:ascii="Times New Roman" w:eastAsia="Times New Roman" w:hAnsi="Times New Roman" w:cs="Times New Roman"/>
          <w:bCs w:val="0"/>
          <w:szCs w:val="20"/>
        </w:rPr>
      </w:pPr>
      <w:r w:rsidRPr="00964083">
        <w:rPr>
          <w:rFonts w:ascii="Times New Roman" w:eastAsia="Times New Roman" w:hAnsi="Times New Roman" w:cs="Times New Roman"/>
          <w:bCs w:val="0"/>
          <w:szCs w:val="20"/>
        </w:rPr>
        <w:t xml:space="preserve">Pan, S., Tian, H., Dangal, S. R. S., Ouyang, Z., Tao, B., Ren, W., Lu, C., and Running, S. W. (2014). Modeling and Monitoring Terrestrial Primary Production in a Changing Global Environment: Toward a Multiscale Synthesis of Observation and Simulation. </w:t>
      </w:r>
      <w:r w:rsidRPr="00964083">
        <w:rPr>
          <w:rFonts w:ascii="Times New Roman" w:eastAsia="Times New Roman" w:hAnsi="Times New Roman" w:cs="Times New Roman"/>
          <w:bCs w:val="0"/>
          <w:i/>
          <w:iCs/>
          <w:szCs w:val="20"/>
        </w:rPr>
        <w:t>Advances in Meteorology</w:t>
      </w:r>
      <w:r w:rsidRPr="00964083">
        <w:rPr>
          <w:rFonts w:ascii="Times New Roman" w:eastAsia="Times New Roman" w:hAnsi="Times New Roman" w:cs="Times New Roman"/>
          <w:bCs w:val="0"/>
          <w:szCs w:val="20"/>
        </w:rPr>
        <w:t>, 2014, 1-17.</w:t>
      </w:r>
    </w:p>
    <w:p w14:paraId="1C35A19A" w14:textId="77777777" w:rsidR="0078185C" w:rsidRPr="00977C54" w:rsidRDefault="00000000" w:rsidP="00977C54">
      <w:pPr>
        <w:pStyle w:val="BodyTextIndent"/>
        <w:snapToGrid w:val="0"/>
        <w:spacing w:after="0"/>
        <w:ind w:left="720" w:hanging="720"/>
        <w:jc w:val="both"/>
        <w:rPr>
          <w:rFonts w:ascii="Times New Roman" w:eastAsia="Times New Roman" w:hAnsi="Times New Roman" w:cs="Times New Roman"/>
          <w:bCs w:val="0"/>
          <w:szCs w:val="20"/>
        </w:rPr>
      </w:pPr>
      <w:r w:rsidRPr="00977C54">
        <w:rPr>
          <w:rFonts w:ascii="Times New Roman" w:eastAsia="Times New Roman" w:hAnsi="Times New Roman" w:cs="Times New Roman"/>
          <w:bCs w:val="0"/>
          <w:szCs w:val="20"/>
        </w:rPr>
        <w:lastRenderedPageBreak/>
        <w:t xml:space="preserve">Poulter, B., Frank, D., Ciais, P., Myneni, R. B., Andela, N., Bi, J., Broquet, G., Canadell, J. G., Chevallier, F., Liu, Y. Y., Running, S. W., Sitch, S., and van der Werf, G. R. (2014). Contribution of semi-arid ecosystems to interannual variability of the global carbon cycle. </w:t>
      </w:r>
      <w:r w:rsidRPr="00977C54">
        <w:rPr>
          <w:rFonts w:ascii="Times New Roman" w:eastAsia="Times New Roman" w:hAnsi="Times New Roman" w:cs="Times New Roman"/>
          <w:bCs w:val="0"/>
          <w:i/>
          <w:iCs/>
          <w:szCs w:val="20"/>
        </w:rPr>
        <w:t>Nature</w:t>
      </w:r>
      <w:r w:rsidRPr="00977C54">
        <w:rPr>
          <w:rFonts w:ascii="Times New Roman" w:eastAsia="Times New Roman" w:hAnsi="Times New Roman" w:cs="Times New Roman"/>
          <w:bCs w:val="0"/>
          <w:szCs w:val="20"/>
        </w:rPr>
        <w:t>, 509(7502), 600-603.</w:t>
      </w:r>
    </w:p>
    <w:p w14:paraId="0875F742" w14:textId="77777777" w:rsidR="0078185C" w:rsidRPr="00977C54" w:rsidRDefault="00000000">
      <w:pPr>
        <w:pStyle w:val="PlainText"/>
        <w:snapToGrid w:val="0"/>
        <w:ind w:left="720" w:hanging="720"/>
        <w:jc w:val="both"/>
        <w:rPr>
          <w:rFonts w:ascii="Times New Roman" w:eastAsia="Times New Roman" w:hAnsi="Times New Roman" w:cs="Times New Roman"/>
          <w:sz w:val="24"/>
        </w:rPr>
      </w:pPr>
      <w:r w:rsidRPr="00977C54">
        <w:rPr>
          <w:rFonts w:ascii="Times New Roman" w:eastAsia="Times New Roman" w:hAnsi="Times New Roman" w:cs="Times New Roman"/>
          <w:sz w:val="24"/>
        </w:rPr>
        <w:t xml:space="preserve">Prince, S., and Goward, S. (1995). Global primary production: a remote sensing approach. </w:t>
      </w:r>
      <w:r w:rsidRPr="00977C54">
        <w:rPr>
          <w:rFonts w:ascii="Times New Roman" w:eastAsia="Times New Roman" w:hAnsi="Times New Roman" w:cs="Times New Roman"/>
          <w:i/>
          <w:iCs/>
          <w:sz w:val="24"/>
        </w:rPr>
        <w:t>Journal of Biogeography</w:t>
      </w:r>
      <w:r w:rsidRPr="00977C54">
        <w:rPr>
          <w:rFonts w:ascii="Times New Roman" w:eastAsia="Times New Roman" w:hAnsi="Times New Roman" w:cs="Times New Roman"/>
          <w:sz w:val="24"/>
        </w:rPr>
        <w:t>, 22(4/5), 815-835.</w:t>
      </w:r>
    </w:p>
    <w:p w14:paraId="5124DA96"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Reich, P. B., Walters, M. B., Ellsworth, D. S., and Uhl, C. (1994). Photosynthesis-nitrogen relations in Amazonian tree species.</w:t>
      </w:r>
      <w:r>
        <w:rPr>
          <w:rFonts w:ascii="Times New Roman" w:hAnsi="Times New Roman" w:cs="Times New Roman"/>
          <w:bCs/>
          <w:i/>
          <w:sz w:val="24"/>
        </w:rPr>
        <w:t xml:space="preserve"> Oecologia</w:t>
      </w:r>
      <w:r>
        <w:rPr>
          <w:rFonts w:ascii="Times New Roman" w:hAnsi="Times New Roman" w:cs="Times New Roman"/>
          <w:bCs/>
          <w:sz w:val="24"/>
        </w:rPr>
        <w:t xml:space="preserve">, </w:t>
      </w:r>
      <w:r>
        <w:rPr>
          <w:rFonts w:ascii="Times New Roman" w:hAnsi="Times New Roman" w:cs="Times New Roman"/>
          <w:bCs/>
          <w:i/>
          <w:sz w:val="24"/>
        </w:rPr>
        <w:t>97</w:t>
      </w:r>
      <w:r>
        <w:rPr>
          <w:rFonts w:ascii="Times New Roman" w:hAnsi="Times New Roman" w:cs="Times New Roman"/>
          <w:bCs/>
          <w:sz w:val="24"/>
        </w:rPr>
        <w:t>(1), 62-72.</w:t>
      </w:r>
    </w:p>
    <w:p w14:paraId="364E8EEE"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Reich, P. B., Walters, M. B., Kloeppel, B. D., and Ellsworth, D. S. (1995). Different photosynthesis-nitrogen relations in deciduous hardwood and evergreen coniferous tree species. </w:t>
      </w:r>
      <w:r>
        <w:rPr>
          <w:rFonts w:ascii="Times New Roman" w:hAnsi="Times New Roman" w:cs="Times New Roman"/>
          <w:bCs/>
          <w:i/>
          <w:sz w:val="24"/>
        </w:rPr>
        <w:t>Oecologia</w:t>
      </w:r>
      <w:r>
        <w:rPr>
          <w:rFonts w:ascii="Times New Roman" w:hAnsi="Times New Roman" w:cs="Times New Roman"/>
          <w:bCs/>
          <w:sz w:val="24"/>
        </w:rPr>
        <w:t xml:space="preserve">, </w:t>
      </w:r>
      <w:r>
        <w:rPr>
          <w:rFonts w:ascii="Times New Roman" w:hAnsi="Times New Roman" w:cs="Times New Roman"/>
          <w:bCs/>
          <w:i/>
          <w:sz w:val="24"/>
        </w:rPr>
        <w:t>104</w:t>
      </w:r>
      <w:r>
        <w:rPr>
          <w:rFonts w:ascii="Times New Roman" w:hAnsi="Times New Roman" w:cs="Times New Roman"/>
          <w:bCs/>
          <w:sz w:val="24"/>
        </w:rPr>
        <w:t>(1), 24-30.</w:t>
      </w:r>
    </w:p>
    <w:p w14:paraId="53B92B91"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Reich, P. B. (2012). Key canopy traits drive forest productivity. </w:t>
      </w:r>
      <w:r>
        <w:rPr>
          <w:rFonts w:ascii="Times New Roman" w:hAnsi="Times New Roman" w:cs="Times New Roman"/>
          <w:bCs/>
          <w:i/>
          <w:sz w:val="24"/>
        </w:rPr>
        <w:t>Proceedings of the Royal Society of London B: Biological Sciences</w:t>
      </w:r>
      <w:r>
        <w:rPr>
          <w:rFonts w:ascii="Times New Roman" w:hAnsi="Times New Roman" w:cs="Times New Roman"/>
          <w:bCs/>
          <w:sz w:val="24"/>
        </w:rPr>
        <w:t xml:space="preserve">, </w:t>
      </w:r>
      <w:r>
        <w:rPr>
          <w:rFonts w:ascii="Times New Roman" w:hAnsi="Times New Roman" w:cs="Times New Roman"/>
          <w:bCs/>
          <w:i/>
          <w:sz w:val="24"/>
        </w:rPr>
        <w:t>279</w:t>
      </w:r>
      <w:r>
        <w:rPr>
          <w:rFonts w:ascii="Times New Roman" w:hAnsi="Times New Roman" w:cs="Times New Roman"/>
          <w:bCs/>
          <w:sz w:val="24"/>
        </w:rPr>
        <w:t>(1736), 2128-2134.</w:t>
      </w:r>
    </w:p>
    <w:p w14:paraId="3EDBB21D" w14:textId="77777777" w:rsidR="0078185C" w:rsidRDefault="00000000">
      <w:pPr>
        <w:snapToGrid w:val="0"/>
        <w:ind w:left="720" w:hanging="720"/>
        <w:jc w:val="both"/>
        <w:rPr>
          <w:bCs/>
        </w:rPr>
      </w:pPr>
      <w:r>
        <w:rPr>
          <w:bCs/>
        </w:rPr>
        <w:t>Rienecker, M. M., Suarez, M. J., Todling, R., Bacmeister, J., Takacs, L., Liu, H. C., Gu, W., Sienkiewicz, M., Koster, R. D., Gelaro, R., Stajner, I., and Nielsen, J. E. (2008).</w:t>
      </w:r>
      <w:r>
        <w:rPr>
          <w:bCs/>
          <w:i/>
        </w:rPr>
        <w:t xml:space="preserve"> The GEOS-5 data assimilation system – Documentation of versions 5.0.1, 5.1.0</w:t>
      </w:r>
      <w:r>
        <w:rPr>
          <w:bCs/>
        </w:rPr>
        <w:t>. Technical Report Series on Global Modeling and Data Assimilation, ed Suarez, M. J.  (National Aeronautics and Space Administration, Washington, DC), 95.</w:t>
      </w:r>
    </w:p>
    <w:p w14:paraId="6EAE3CC5" w14:textId="01F2A65D" w:rsidR="007852CC" w:rsidRPr="007852CC" w:rsidRDefault="007852CC" w:rsidP="007852CC">
      <w:pPr>
        <w:pStyle w:val="PlainText"/>
        <w:ind w:left="720" w:hanging="720"/>
        <w:jc w:val="both"/>
        <w:rPr>
          <w:rFonts w:ascii="Times New Roman" w:hAnsi="Times New Roman" w:cs="Times New Roman"/>
          <w:bCs/>
          <w:sz w:val="24"/>
        </w:rPr>
      </w:pPr>
      <w:r w:rsidRPr="006F1356">
        <w:rPr>
          <w:rFonts w:ascii="Times New Roman" w:hAnsi="Times New Roman" w:cs="Times New Roman"/>
          <w:bCs/>
          <w:sz w:val="24"/>
        </w:rPr>
        <w:t>Román, M</w:t>
      </w:r>
      <w:r>
        <w:rPr>
          <w:rFonts w:ascii="Times New Roman" w:hAnsi="Times New Roman" w:cs="Times New Roman"/>
          <w:bCs/>
          <w:sz w:val="24"/>
        </w:rPr>
        <w:t>.</w:t>
      </w:r>
      <w:r w:rsidRPr="006F1356">
        <w:rPr>
          <w:rFonts w:ascii="Times New Roman" w:hAnsi="Times New Roman" w:cs="Times New Roman"/>
          <w:bCs/>
          <w:sz w:val="24"/>
        </w:rPr>
        <w:t xml:space="preserve"> O. et al. </w:t>
      </w:r>
      <w:r>
        <w:rPr>
          <w:rFonts w:ascii="Times New Roman" w:hAnsi="Times New Roman" w:cs="Times New Roman"/>
          <w:bCs/>
          <w:sz w:val="24"/>
        </w:rPr>
        <w:t xml:space="preserve">(2024) </w:t>
      </w:r>
      <w:r w:rsidRPr="006F1356">
        <w:rPr>
          <w:rFonts w:ascii="Times New Roman" w:hAnsi="Times New Roman" w:cs="Times New Roman"/>
          <w:bCs/>
          <w:sz w:val="24"/>
        </w:rPr>
        <w:t>Continuity between NASA MODIS Collection 6.1 and VIIRS Collection 2 land products. </w:t>
      </w:r>
      <w:r w:rsidRPr="006F1356">
        <w:rPr>
          <w:rFonts w:ascii="Times New Roman" w:hAnsi="Times New Roman" w:cs="Times New Roman"/>
          <w:bCs/>
          <w:i/>
          <w:iCs/>
          <w:sz w:val="24"/>
        </w:rPr>
        <w:t>Remote Sensing of Environment</w:t>
      </w:r>
      <w:r w:rsidRPr="006F1356">
        <w:rPr>
          <w:rFonts w:ascii="Times New Roman" w:hAnsi="Times New Roman" w:cs="Times New Roman"/>
          <w:bCs/>
          <w:sz w:val="24"/>
        </w:rPr>
        <w:t> 302: 113963.</w:t>
      </w:r>
    </w:p>
    <w:p w14:paraId="18D85F0D" w14:textId="77777777" w:rsidR="0078185C" w:rsidRDefault="00000000">
      <w:pPr>
        <w:snapToGrid w:val="0"/>
        <w:ind w:left="720" w:hanging="720"/>
        <w:jc w:val="both"/>
        <w:rPr>
          <w:szCs w:val="20"/>
        </w:rPr>
      </w:pPr>
      <w:r>
        <w:rPr>
          <w:szCs w:val="20"/>
        </w:rPr>
        <w:t xml:space="preserve">Running, S. W., and Hunt, E. J. (1993). Generalization of a forest ecosystem process model for other biomes, BIOME-BGC, and an application for global-scale models. In J. R. Ehleringer, C. Field (Eds.), </w:t>
      </w:r>
      <w:r>
        <w:rPr>
          <w:i/>
          <w:szCs w:val="20"/>
        </w:rPr>
        <w:t xml:space="preserve">Scaling Processes Between Leaf and Landscape Levels. </w:t>
      </w:r>
      <w:r>
        <w:rPr>
          <w:szCs w:val="20"/>
        </w:rPr>
        <w:t>Academic Press.</w:t>
      </w:r>
    </w:p>
    <w:p w14:paraId="36A5177F"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Running, S. W., Loveland, T. R., and Pierce, L. L. (1994). A vegetation classification logic based on remote sensing for use in global scale biogeochemical models. </w:t>
      </w:r>
      <w:r>
        <w:rPr>
          <w:rFonts w:ascii="Times New Roman" w:hAnsi="Times New Roman" w:cs="Times New Roman"/>
          <w:bCs/>
          <w:i/>
          <w:sz w:val="24"/>
        </w:rPr>
        <w:t>Ambio,</w:t>
      </w:r>
      <w:r>
        <w:rPr>
          <w:rFonts w:ascii="Times New Roman" w:hAnsi="Times New Roman" w:cs="Times New Roman"/>
          <w:bCs/>
          <w:sz w:val="24"/>
        </w:rPr>
        <w:t xml:space="preserve"> </w:t>
      </w:r>
      <w:r>
        <w:rPr>
          <w:rFonts w:ascii="Times New Roman" w:hAnsi="Times New Roman" w:cs="Times New Roman"/>
          <w:bCs/>
          <w:i/>
          <w:sz w:val="24"/>
        </w:rPr>
        <w:t>23</w:t>
      </w:r>
      <w:r>
        <w:rPr>
          <w:rFonts w:ascii="Times New Roman" w:hAnsi="Times New Roman" w:cs="Times New Roman"/>
          <w:bCs/>
          <w:sz w:val="24"/>
        </w:rPr>
        <w:t>, 77-81.</w:t>
      </w:r>
    </w:p>
    <w:p w14:paraId="47A4042E"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Running, S. W., Baldocchi, D. D., Turner, D. P., Gower, S. T., Bakwin, P. S., and Hibbard, K. A. (1999). A global terrestrial monitoring network integrating tower fluxes, flask sampling, ecosystem modeling and EOS satellite data. </w:t>
      </w:r>
      <w:r>
        <w:rPr>
          <w:rFonts w:ascii="Times New Roman" w:hAnsi="Times New Roman" w:cs="Times New Roman"/>
          <w:bCs/>
          <w:i/>
          <w:sz w:val="24"/>
        </w:rPr>
        <w:t>Remote Sensing of Environment</w:t>
      </w:r>
      <w:r>
        <w:rPr>
          <w:rFonts w:ascii="Times New Roman" w:hAnsi="Times New Roman" w:cs="Times New Roman"/>
          <w:bCs/>
          <w:sz w:val="24"/>
        </w:rPr>
        <w:t xml:space="preserve">, </w:t>
      </w:r>
      <w:r>
        <w:rPr>
          <w:rFonts w:ascii="Times New Roman" w:hAnsi="Times New Roman" w:cs="Times New Roman"/>
          <w:bCs/>
          <w:i/>
          <w:sz w:val="24"/>
        </w:rPr>
        <w:t>70</w:t>
      </w:r>
      <w:r>
        <w:rPr>
          <w:rFonts w:ascii="Times New Roman" w:hAnsi="Times New Roman" w:cs="Times New Roman"/>
          <w:bCs/>
          <w:sz w:val="24"/>
        </w:rPr>
        <w:t>(1), 108-127.</w:t>
      </w:r>
    </w:p>
    <w:p w14:paraId="1F025331"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Running, S. W., Thornton, P. E., Nemani, R. R., and Glassy, J. M. (2000). Global terrestrial gross and net primary productivity from the earth observing system. In Methods in ecosystem science (pp. 44-57). New York: Springer.</w:t>
      </w:r>
    </w:p>
    <w:p w14:paraId="4807F486"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S.W., Nemani, R. R., Heinsch, F. A., Zhao, M., Reeves, M., Hashimoto, H. (2004). A Continuous Satellite-Derived Measure of Global Terrestrial Primary Production. </w:t>
      </w:r>
      <w:r>
        <w:rPr>
          <w:rFonts w:ascii="Times New Roman" w:hAnsi="Times New Roman" w:cs="Times New Roman"/>
          <w:bCs/>
          <w:i/>
          <w:sz w:val="24"/>
        </w:rPr>
        <w:t>BioScience</w:t>
      </w:r>
      <w:r>
        <w:rPr>
          <w:rFonts w:ascii="Times New Roman" w:hAnsi="Times New Roman" w:cs="Times New Roman"/>
          <w:bCs/>
          <w:sz w:val="24"/>
        </w:rPr>
        <w:t xml:space="preserve">, </w:t>
      </w:r>
      <w:r>
        <w:rPr>
          <w:rFonts w:ascii="Times New Roman" w:hAnsi="Times New Roman" w:cs="Times New Roman"/>
          <w:bCs/>
          <w:i/>
          <w:sz w:val="24"/>
        </w:rPr>
        <w:t>54</w:t>
      </w:r>
      <w:r>
        <w:rPr>
          <w:rFonts w:ascii="Times New Roman" w:hAnsi="Times New Roman" w:cs="Times New Roman"/>
          <w:bCs/>
          <w:sz w:val="24"/>
        </w:rPr>
        <w:t>(6), 547-560.</w:t>
      </w:r>
    </w:p>
    <w:p w14:paraId="67069966"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Running, S. W. (2012). A measurable planetary boundary for the biosphere. </w:t>
      </w:r>
      <w:r>
        <w:rPr>
          <w:rFonts w:ascii="Times New Roman" w:hAnsi="Times New Roman" w:cs="Times New Roman"/>
          <w:bCs/>
          <w:i/>
          <w:sz w:val="24"/>
        </w:rPr>
        <w:t>Science</w:t>
      </w:r>
      <w:r>
        <w:rPr>
          <w:rFonts w:ascii="Times New Roman" w:hAnsi="Times New Roman" w:cs="Times New Roman"/>
          <w:bCs/>
          <w:sz w:val="24"/>
        </w:rPr>
        <w:t xml:space="preserve">, </w:t>
      </w:r>
      <w:r>
        <w:rPr>
          <w:rFonts w:ascii="Times New Roman" w:hAnsi="Times New Roman" w:cs="Times New Roman"/>
          <w:bCs/>
          <w:i/>
          <w:sz w:val="24"/>
        </w:rPr>
        <w:t>337</w:t>
      </w:r>
      <w:r>
        <w:rPr>
          <w:rFonts w:ascii="Times New Roman" w:hAnsi="Times New Roman" w:cs="Times New Roman"/>
          <w:bCs/>
          <w:sz w:val="24"/>
        </w:rPr>
        <w:t>(6101), 1458-1459.</w:t>
      </w:r>
    </w:p>
    <w:p w14:paraId="18ADB8EA" w14:textId="77777777" w:rsidR="0078185C" w:rsidRDefault="00000000">
      <w:pPr>
        <w:snapToGrid w:val="0"/>
        <w:ind w:left="720" w:hanging="720"/>
        <w:jc w:val="both"/>
        <w:rPr>
          <w:szCs w:val="20"/>
        </w:rPr>
      </w:pPr>
      <w:r>
        <w:rPr>
          <w:szCs w:val="20"/>
        </w:rPr>
        <w:t xml:space="preserve">Ryan, M. G. (1991). The effects of climate change on plant respiration. </w:t>
      </w:r>
      <w:r>
        <w:rPr>
          <w:i/>
          <w:szCs w:val="20"/>
        </w:rPr>
        <w:t>Ecological Applications</w:t>
      </w:r>
      <w:r>
        <w:rPr>
          <w:szCs w:val="20"/>
        </w:rPr>
        <w:t xml:space="preserve">, </w:t>
      </w:r>
      <w:r>
        <w:rPr>
          <w:i/>
          <w:szCs w:val="20"/>
        </w:rPr>
        <w:t>1</w:t>
      </w:r>
      <w:r>
        <w:rPr>
          <w:szCs w:val="20"/>
        </w:rPr>
        <w:t>(2): 157-167.</w:t>
      </w:r>
    </w:p>
    <w:p w14:paraId="317E6BD5"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 xml:space="preserve">Sellers, P. J. (1987). Canopy reflectance, photosynthesis, and transpiration, II. The role of biophysics in the linearity of their interdependence. </w:t>
      </w:r>
      <w:r>
        <w:rPr>
          <w:rFonts w:ascii="Times New Roman" w:hAnsi="Times New Roman" w:cs="Times New Roman"/>
          <w:bCs/>
          <w:i/>
          <w:sz w:val="24"/>
        </w:rPr>
        <w:t>Remote sensing of Environment</w:t>
      </w:r>
      <w:r>
        <w:rPr>
          <w:rFonts w:ascii="Times New Roman" w:hAnsi="Times New Roman" w:cs="Times New Roman"/>
          <w:bCs/>
          <w:sz w:val="24"/>
        </w:rPr>
        <w:t xml:space="preserve">, </w:t>
      </w:r>
      <w:r>
        <w:rPr>
          <w:rFonts w:ascii="Times New Roman" w:hAnsi="Times New Roman" w:cs="Times New Roman"/>
          <w:bCs/>
          <w:i/>
          <w:sz w:val="24"/>
        </w:rPr>
        <w:t>21</w:t>
      </w:r>
      <w:r>
        <w:rPr>
          <w:rFonts w:ascii="Times New Roman" w:hAnsi="Times New Roman" w:cs="Times New Roman"/>
          <w:bCs/>
          <w:sz w:val="24"/>
        </w:rPr>
        <w:t>(2), 143-183.</w:t>
      </w:r>
    </w:p>
    <w:p w14:paraId="4A550388" w14:textId="77777777" w:rsidR="0078185C" w:rsidRDefault="00000000">
      <w:pPr>
        <w:pStyle w:val="PlainText"/>
        <w:ind w:left="720" w:hanging="720"/>
        <w:jc w:val="both"/>
        <w:rPr>
          <w:rFonts w:ascii="Times New Roman" w:hAnsi="Times New Roman" w:cs="Times New Roman"/>
          <w:bCs/>
          <w:sz w:val="24"/>
        </w:rPr>
      </w:pPr>
      <w:r>
        <w:rPr>
          <w:rFonts w:ascii="Times New Roman" w:hAnsi="Times New Roman" w:cs="Times New Roman"/>
          <w:bCs/>
          <w:sz w:val="24"/>
        </w:rPr>
        <w:t>Sexton, J. O., Noojipady, P., Song, X. P., Feng, M., Song, D. X., Kim, D. H., ... &amp; Townshend, J. R. (2016). Conservation policy and the measurement of forests. </w:t>
      </w:r>
      <w:r>
        <w:rPr>
          <w:rFonts w:ascii="Times New Roman" w:hAnsi="Times New Roman" w:cs="Times New Roman"/>
          <w:bCs/>
          <w:i/>
          <w:iCs/>
          <w:sz w:val="24"/>
        </w:rPr>
        <w:t>Nature Climate Change</w:t>
      </w:r>
      <w:r>
        <w:rPr>
          <w:rFonts w:ascii="Times New Roman" w:hAnsi="Times New Roman" w:cs="Times New Roman"/>
          <w:bCs/>
          <w:sz w:val="24"/>
        </w:rPr>
        <w:t>, 6(2), 192-196.</w:t>
      </w:r>
    </w:p>
    <w:p w14:paraId="472933D3" w14:textId="77777777" w:rsidR="0078185C" w:rsidRDefault="00000000">
      <w:pPr>
        <w:pStyle w:val="PlainText"/>
        <w:ind w:left="720" w:hanging="720"/>
        <w:jc w:val="both"/>
        <w:rPr>
          <w:rFonts w:ascii="Times New Roman" w:hAnsi="Times New Roman" w:cs="Times New Roman"/>
          <w:sz w:val="24"/>
          <w:szCs w:val="24"/>
        </w:rPr>
      </w:pPr>
      <w:r>
        <w:rPr>
          <w:rFonts w:ascii="Times New Roman" w:hAnsi="Times New Roman" w:cs="Times New Roman"/>
          <w:sz w:val="24"/>
          <w:szCs w:val="24"/>
        </w:rPr>
        <w:lastRenderedPageBreak/>
        <w:t xml:space="preserve">Smith, W. K., Zhao, M., &amp; Running, S. W. (2012). Global bioenergy capacity as constrained by observed biospheric productivity rates. </w:t>
      </w:r>
      <w:r>
        <w:rPr>
          <w:rFonts w:ascii="Times New Roman" w:hAnsi="Times New Roman" w:cs="Times New Roman"/>
          <w:i/>
          <w:sz w:val="24"/>
          <w:szCs w:val="24"/>
        </w:rPr>
        <w:t>BioScience</w:t>
      </w:r>
      <w:r>
        <w:rPr>
          <w:rFonts w:ascii="Times New Roman" w:hAnsi="Times New Roman" w:cs="Times New Roman"/>
          <w:sz w:val="24"/>
          <w:szCs w:val="24"/>
        </w:rPr>
        <w:t xml:space="preserve">, </w:t>
      </w:r>
      <w:r>
        <w:rPr>
          <w:rFonts w:ascii="Times New Roman" w:hAnsi="Times New Roman" w:cs="Times New Roman"/>
          <w:i/>
          <w:sz w:val="24"/>
          <w:szCs w:val="24"/>
        </w:rPr>
        <w:t>62</w:t>
      </w:r>
      <w:r>
        <w:rPr>
          <w:rFonts w:ascii="Times New Roman" w:hAnsi="Times New Roman" w:cs="Times New Roman"/>
          <w:sz w:val="24"/>
          <w:szCs w:val="24"/>
        </w:rPr>
        <w:t>(10), 911-922.</w:t>
      </w:r>
    </w:p>
    <w:p w14:paraId="7D158D53" w14:textId="77777777" w:rsidR="0078185C" w:rsidRDefault="00000000">
      <w:pPr>
        <w:ind w:left="720" w:hanging="720"/>
        <w:jc w:val="both"/>
        <w:rPr>
          <w:b/>
          <w:i/>
        </w:rPr>
      </w:pPr>
      <w:r>
        <w:t xml:space="preserve">Song, X. P., Hansen, M. C., Stehman, S. V., Potapov, P. V., Tyukavina, A., Vermote, E. F., &amp; Townshend, J. R. (2018). Global land change from 1982 to 2016. </w:t>
      </w:r>
      <w:r>
        <w:rPr>
          <w:i/>
          <w:iCs/>
        </w:rPr>
        <w:t>Nature</w:t>
      </w:r>
      <w:r>
        <w:t xml:space="preserve">, </w:t>
      </w:r>
      <w:r>
        <w:rPr>
          <w:i/>
          <w:iCs/>
        </w:rPr>
        <w:t>560</w:t>
      </w:r>
      <w:r>
        <w:t>(7720), 639-643.</w:t>
      </w:r>
    </w:p>
    <w:p w14:paraId="55C6AEA5" w14:textId="77777777" w:rsidR="0078185C" w:rsidRDefault="00000000">
      <w:pPr>
        <w:pStyle w:val="PlainText"/>
        <w:ind w:left="720" w:hanging="720"/>
        <w:jc w:val="both"/>
        <w:rPr>
          <w:rFonts w:ascii="Times New Roman" w:hAnsi="Times New Roman" w:cs="Times New Roman"/>
          <w:bCs/>
          <w:sz w:val="24"/>
          <w:szCs w:val="24"/>
        </w:rPr>
      </w:pPr>
      <w:r>
        <w:rPr>
          <w:rFonts w:ascii="Times New Roman" w:hAnsi="Times New Roman" w:cs="Times New Roman"/>
          <w:bCs/>
          <w:sz w:val="24"/>
          <w:szCs w:val="24"/>
        </w:rPr>
        <w:t xml:space="preserve">Sulla-Menashe, D., Gray, J. M., Abercrombie, S. P., &amp; Friedl, M. A. (2019). Hierarchical mapping of annual global land cover 2001 to present: The MODIS Collection 6 Land Cover product. </w:t>
      </w:r>
      <w:r>
        <w:rPr>
          <w:rFonts w:ascii="Times New Roman" w:hAnsi="Times New Roman" w:cs="Times New Roman"/>
          <w:bCs/>
          <w:i/>
          <w:sz w:val="24"/>
          <w:szCs w:val="24"/>
        </w:rPr>
        <w:t>Remote Sensing of Environment</w:t>
      </w:r>
      <w:r>
        <w:rPr>
          <w:rFonts w:ascii="Times New Roman" w:hAnsi="Times New Roman" w:cs="Times New Roman"/>
          <w:bCs/>
          <w:sz w:val="24"/>
          <w:szCs w:val="24"/>
        </w:rPr>
        <w:t>, 222, 183-194.</w:t>
      </w:r>
    </w:p>
    <w:p w14:paraId="165498C7" w14:textId="77777777" w:rsidR="0078185C" w:rsidRDefault="00000000">
      <w:pPr>
        <w:pStyle w:val="PlainText"/>
        <w:ind w:left="720" w:hanging="720"/>
        <w:jc w:val="both"/>
        <w:rPr>
          <w:rFonts w:ascii="Times New Roman" w:hAnsi="Times New Roman" w:cs="Times New Roman"/>
        </w:rPr>
      </w:pPr>
      <w:r>
        <w:rPr>
          <w:rFonts w:ascii="Times New Roman" w:hAnsi="Times New Roman" w:cs="Times New Roman"/>
          <w:sz w:val="24"/>
          <w:szCs w:val="24"/>
        </w:rPr>
        <w:t xml:space="preserve">Tallis, H., Mooney, H., Andelman, S., Balvanera, P., Cramer, W., Karp, D., Smith, W. K., Zhao, M., and Running, S. W. (2012). A global system for monitoring ecosystem service change. </w:t>
      </w:r>
      <w:r>
        <w:rPr>
          <w:rFonts w:ascii="Times New Roman" w:hAnsi="Times New Roman" w:cs="Times New Roman"/>
          <w:i/>
          <w:sz w:val="24"/>
          <w:szCs w:val="24"/>
        </w:rPr>
        <w:t>Bioscience</w:t>
      </w:r>
      <w:r>
        <w:rPr>
          <w:rFonts w:ascii="Times New Roman" w:hAnsi="Times New Roman" w:cs="Times New Roman"/>
          <w:sz w:val="24"/>
          <w:szCs w:val="24"/>
        </w:rPr>
        <w:t xml:space="preserve">, </w:t>
      </w:r>
      <w:r>
        <w:rPr>
          <w:rFonts w:ascii="Times New Roman" w:hAnsi="Times New Roman" w:cs="Times New Roman"/>
          <w:i/>
          <w:sz w:val="24"/>
          <w:szCs w:val="24"/>
        </w:rPr>
        <w:t>62</w:t>
      </w:r>
      <w:r>
        <w:rPr>
          <w:rFonts w:ascii="Times New Roman" w:hAnsi="Times New Roman" w:cs="Times New Roman"/>
          <w:sz w:val="24"/>
          <w:szCs w:val="24"/>
        </w:rPr>
        <w:t>(11), 977-986.</w:t>
      </w:r>
    </w:p>
    <w:p w14:paraId="586AD123" w14:textId="77777777" w:rsidR="0078185C" w:rsidRDefault="00000000">
      <w:pPr>
        <w:snapToGrid w:val="0"/>
        <w:ind w:left="720" w:hanging="720"/>
        <w:jc w:val="both"/>
        <w:rPr>
          <w:szCs w:val="20"/>
        </w:rPr>
      </w:pPr>
      <w:r>
        <w:rPr>
          <w:szCs w:val="20"/>
        </w:rPr>
        <w:t>Tjoelker, M. G., Oleksyn, J., and Reich, P. (2001). Modelling respiration of vegetation: evidence for a general temperature-dependent Q</w:t>
      </w:r>
      <w:r w:rsidRPr="00977C54">
        <w:rPr>
          <w:szCs w:val="20"/>
          <w:vertAlign w:val="subscript"/>
        </w:rPr>
        <w:t>10</w:t>
      </w:r>
      <w:r>
        <w:rPr>
          <w:szCs w:val="20"/>
        </w:rPr>
        <w:t xml:space="preserve">. </w:t>
      </w:r>
      <w:r>
        <w:rPr>
          <w:i/>
          <w:szCs w:val="20"/>
        </w:rPr>
        <w:t>Global Change Biology</w:t>
      </w:r>
      <w:r>
        <w:rPr>
          <w:szCs w:val="20"/>
        </w:rPr>
        <w:t xml:space="preserve">, </w:t>
      </w:r>
      <w:r>
        <w:rPr>
          <w:i/>
          <w:szCs w:val="20"/>
        </w:rPr>
        <w:t>7</w:t>
      </w:r>
      <w:r>
        <w:rPr>
          <w:szCs w:val="20"/>
        </w:rPr>
        <w:t>(2), 223-230.</w:t>
      </w:r>
    </w:p>
    <w:p w14:paraId="64BADF0F" w14:textId="77777777" w:rsidR="0078185C"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rPr>
          <w:szCs w:val="20"/>
        </w:rPr>
      </w:pPr>
      <w:r>
        <w:rPr>
          <w:szCs w:val="20"/>
        </w:rPr>
        <w:t xml:space="preserve">Turner, D. P., Urbanski, S., Bremer, D., Wofsy, S. C., Meyers, T., Gower, S. T., Gregory, M. (2003). </w:t>
      </w:r>
      <w:r>
        <w:rPr>
          <w:i/>
          <w:szCs w:val="20"/>
        </w:rPr>
        <w:t>Global Change Biology,</w:t>
      </w:r>
      <w:r>
        <w:rPr>
          <w:szCs w:val="20"/>
        </w:rPr>
        <w:t xml:space="preserve"> 9(3), 383-395.</w:t>
      </w:r>
    </w:p>
    <w:p w14:paraId="6711DDEA" w14:textId="77777777" w:rsidR="0078185C"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rPr>
          <w:szCs w:val="20"/>
        </w:rPr>
      </w:pPr>
      <w:r>
        <w:rPr>
          <w:szCs w:val="20"/>
        </w:rPr>
        <w:t xml:space="preserve">Turner, D. P., Ollinger, S., Smith, M. L., Krankina, O., and Gregory, M. (2004). Scaling net primary production to a MODIS footprint in support of Earth observing system product validation. </w:t>
      </w:r>
      <w:r>
        <w:rPr>
          <w:i/>
          <w:szCs w:val="20"/>
        </w:rPr>
        <w:t>International Journal of Remote Sensing</w:t>
      </w:r>
      <w:r>
        <w:rPr>
          <w:szCs w:val="20"/>
        </w:rPr>
        <w:t xml:space="preserve">, </w:t>
      </w:r>
      <w:r>
        <w:rPr>
          <w:i/>
          <w:szCs w:val="20"/>
        </w:rPr>
        <w:t>25</w:t>
      </w:r>
      <w:r>
        <w:rPr>
          <w:szCs w:val="20"/>
        </w:rPr>
        <w:t>(10), 1961-1979.</w:t>
      </w:r>
    </w:p>
    <w:p w14:paraId="2CE2F9C5" w14:textId="77777777" w:rsidR="0078185C" w:rsidRDefault="000000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napToGrid w:val="0"/>
        <w:ind w:left="720" w:hanging="720"/>
        <w:jc w:val="both"/>
        <w:rPr>
          <w:szCs w:val="20"/>
        </w:rPr>
      </w:pPr>
      <w:r>
        <w:rPr>
          <w:szCs w:val="20"/>
        </w:rPr>
        <w:t xml:space="preserve">Turner, D. P., Ritts, W. D., Cohen, W. B., Gower, S. T., Running, S. W., Zhao, M., Costa, M. H., Kirschbauma, A, Hamf, J. M., Saleskag, S. R., and Ahl, D. E. (2006). Evaluation of MODIS NPP and GPP products across multiple biomes. </w:t>
      </w:r>
      <w:r>
        <w:rPr>
          <w:i/>
          <w:szCs w:val="20"/>
        </w:rPr>
        <w:t>Remote Sensing of Environment</w:t>
      </w:r>
      <w:r>
        <w:rPr>
          <w:szCs w:val="20"/>
        </w:rPr>
        <w:t xml:space="preserve">, </w:t>
      </w:r>
      <w:r>
        <w:rPr>
          <w:i/>
          <w:szCs w:val="20"/>
        </w:rPr>
        <w:t>102</w:t>
      </w:r>
      <w:r>
        <w:rPr>
          <w:szCs w:val="20"/>
        </w:rPr>
        <w:t>(3), 282-292.</w:t>
      </w:r>
    </w:p>
    <w:p w14:paraId="4F49BD7B"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Waring, R. H., and Running, S. W. (2010). Forest ecosystems: analysis at multiple scales. Academic Press.</w:t>
      </w:r>
    </w:p>
    <w:p w14:paraId="679B4060"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White, M. A., Thornton, P. E., Running, S. W., and Nemani, R. R. (2000). Parameterization and sensitivity analysis of the BIOME-BGC terrestrial ecosystem model: net primary production controls. </w:t>
      </w:r>
      <w:r>
        <w:rPr>
          <w:rFonts w:ascii="Times New Roman" w:hAnsi="Times New Roman" w:cs="Times New Roman"/>
          <w:bCs/>
          <w:i/>
          <w:sz w:val="24"/>
        </w:rPr>
        <w:t>Earth interactions</w:t>
      </w:r>
      <w:r>
        <w:rPr>
          <w:rFonts w:ascii="Times New Roman" w:hAnsi="Times New Roman" w:cs="Times New Roman"/>
          <w:bCs/>
          <w:sz w:val="24"/>
        </w:rPr>
        <w:t xml:space="preserve">, </w:t>
      </w:r>
      <w:r>
        <w:rPr>
          <w:rFonts w:ascii="Times New Roman" w:hAnsi="Times New Roman" w:cs="Times New Roman"/>
          <w:bCs/>
          <w:i/>
          <w:sz w:val="24"/>
        </w:rPr>
        <w:t>4</w:t>
      </w:r>
      <w:r>
        <w:rPr>
          <w:rFonts w:ascii="Times New Roman" w:hAnsi="Times New Roman" w:cs="Times New Roman"/>
          <w:bCs/>
          <w:sz w:val="24"/>
        </w:rPr>
        <w:t>(3), 1-85.</w:t>
      </w:r>
    </w:p>
    <w:p w14:paraId="104485EA"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Zhao, M., Heinsch, F. A., Nemani, R. R., and Running, S. W. (2005). </w:t>
      </w:r>
      <w:bookmarkStart w:id="31" w:name="OLE_LINK5"/>
      <w:bookmarkStart w:id="32" w:name="OLE_LINK6"/>
      <w:r>
        <w:rPr>
          <w:rFonts w:ascii="Times New Roman" w:hAnsi="Times New Roman" w:cs="Times New Roman"/>
          <w:bCs/>
          <w:sz w:val="24"/>
        </w:rPr>
        <w:t xml:space="preserve">Improvements of the MODIS terrestrial gross and net primary production global data set. </w:t>
      </w:r>
      <w:r>
        <w:rPr>
          <w:rFonts w:ascii="Times New Roman" w:hAnsi="Times New Roman" w:cs="Times New Roman"/>
          <w:bCs/>
          <w:i/>
          <w:sz w:val="24"/>
        </w:rPr>
        <w:t>Remote Sensing of</w:t>
      </w:r>
      <w:r>
        <w:rPr>
          <w:rFonts w:ascii="Times New Roman" w:hAnsi="Times New Roman" w:cs="Times New Roman"/>
          <w:bCs/>
          <w:sz w:val="24"/>
        </w:rPr>
        <w:t xml:space="preserve"> </w:t>
      </w:r>
      <w:r>
        <w:rPr>
          <w:rFonts w:ascii="Times New Roman" w:hAnsi="Times New Roman" w:cs="Times New Roman"/>
          <w:bCs/>
          <w:i/>
          <w:sz w:val="24"/>
        </w:rPr>
        <w:t>Environment</w:t>
      </w:r>
      <w:r>
        <w:rPr>
          <w:rFonts w:ascii="Times New Roman" w:hAnsi="Times New Roman" w:cs="Times New Roman"/>
          <w:bCs/>
          <w:sz w:val="24"/>
        </w:rPr>
        <w:t xml:space="preserve">, </w:t>
      </w:r>
      <w:r>
        <w:rPr>
          <w:rFonts w:ascii="Times New Roman" w:hAnsi="Times New Roman" w:cs="Times New Roman"/>
          <w:bCs/>
          <w:i/>
          <w:sz w:val="24"/>
        </w:rPr>
        <w:t>95</w:t>
      </w:r>
      <w:r>
        <w:rPr>
          <w:rFonts w:ascii="Times New Roman" w:hAnsi="Times New Roman" w:cs="Times New Roman"/>
          <w:bCs/>
          <w:sz w:val="24"/>
        </w:rPr>
        <w:t>(2): 164–176.</w:t>
      </w:r>
      <w:r>
        <w:rPr>
          <w:rFonts w:ascii="Times New Roman" w:hAnsi="Times New Roman" w:cs="Times New Roman"/>
          <w:bCs/>
          <w:sz w:val="24"/>
        </w:rPr>
        <w:fldChar w:fldCharType="end"/>
      </w:r>
      <w:bookmarkEnd w:id="31"/>
      <w:bookmarkEnd w:id="32"/>
    </w:p>
    <w:p w14:paraId="07EA43BE"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Zhao, M., Running, S. W., and </w:t>
      </w:r>
      <w:proofErr w:type="spellStart"/>
      <w:r>
        <w:rPr>
          <w:rFonts w:ascii="Times New Roman" w:hAnsi="Times New Roman" w:cs="Times New Roman"/>
          <w:bCs/>
          <w:sz w:val="24"/>
        </w:rPr>
        <w:t>Nemani</w:t>
      </w:r>
      <w:proofErr w:type="spellEnd"/>
      <w:r>
        <w:rPr>
          <w:rFonts w:ascii="Times New Roman" w:hAnsi="Times New Roman" w:cs="Times New Roman"/>
          <w:bCs/>
          <w:sz w:val="24"/>
        </w:rPr>
        <w:t xml:space="preserve">, R. R. (2006). Sensitivity of Moderate Resolution Imaging Spectroradiometer (MODIS) terrestrial primary production to the accuracy of meteorological </w:t>
      </w:r>
      <w:proofErr w:type="spellStart"/>
      <w:r>
        <w:rPr>
          <w:rFonts w:ascii="Times New Roman" w:hAnsi="Times New Roman" w:cs="Times New Roman"/>
          <w:bCs/>
          <w:sz w:val="24"/>
        </w:rPr>
        <w:t>reanalyses</w:t>
      </w:r>
      <w:proofErr w:type="spellEnd"/>
      <w:r>
        <w:rPr>
          <w:rFonts w:ascii="Times New Roman" w:hAnsi="Times New Roman" w:cs="Times New Roman"/>
          <w:bCs/>
          <w:sz w:val="24"/>
        </w:rPr>
        <w:t xml:space="preserve">. </w:t>
      </w:r>
      <w:r>
        <w:rPr>
          <w:rFonts w:ascii="Times New Roman" w:hAnsi="Times New Roman" w:cs="Times New Roman"/>
          <w:bCs/>
          <w:i/>
          <w:sz w:val="24"/>
        </w:rPr>
        <w:t>Journal of Geophysical Research</w:t>
      </w:r>
      <w:r>
        <w:rPr>
          <w:rFonts w:ascii="Times New Roman" w:hAnsi="Times New Roman" w:cs="Times New Roman"/>
          <w:bCs/>
          <w:sz w:val="24"/>
        </w:rPr>
        <w:t xml:space="preserve">, </w:t>
      </w:r>
      <w:r>
        <w:rPr>
          <w:rFonts w:ascii="Times New Roman" w:hAnsi="Times New Roman" w:cs="Times New Roman"/>
          <w:bCs/>
          <w:i/>
          <w:sz w:val="24"/>
        </w:rPr>
        <w:t>111</w:t>
      </w:r>
      <w:r>
        <w:rPr>
          <w:rFonts w:ascii="Times New Roman" w:hAnsi="Times New Roman" w:cs="Times New Roman"/>
          <w:bCs/>
          <w:sz w:val="24"/>
        </w:rPr>
        <w:t>, G01002.</w:t>
      </w:r>
    </w:p>
    <w:p w14:paraId="5EA3FF44" w14:textId="77777777" w:rsidR="0078185C" w:rsidRDefault="00000000">
      <w:pPr>
        <w:pStyle w:val="PlainText"/>
        <w:snapToGrid w:val="0"/>
        <w:ind w:left="720" w:hanging="720"/>
        <w:jc w:val="both"/>
        <w:rPr>
          <w:rFonts w:ascii="Times New Roman" w:hAnsi="Times New Roman" w:cs="Times New Roman"/>
          <w:bCs/>
          <w:sz w:val="24"/>
        </w:rPr>
      </w:pPr>
      <w:r>
        <w:rPr>
          <w:rFonts w:ascii="Times New Roman" w:hAnsi="Times New Roman" w:cs="Times New Roman"/>
          <w:bCs/>
          <w:sz w:val="24"/>
        </w:rPr>
        <w:t xml:space="preserve">Zhao, M., Running, S. W. (2010).  Drought-induced reduction in global terrestrial net primary production from 2000 through 2009, </w:t>
      </w:r>
      <w:r>
        <w:rPr>
          <w:rFonts w:ascii="Times New Roman" w:hAnsi="Times New Roman" w:cs="Times New Roman"/>
          <w:bCs/>
          <w:i/>
          <w:sz w:val="24"/>
        </w:rPr>
        <w:t>Science</w:t>
      </w:r>
      <w:r>
        <w:rPr>
          <w:rFonts w:ascii="Times New Roman" w:hAnsi="Times New Roman" w:cs="Times New Roman"/>
          <w:bCs/>
          <w:sz w:val="24"/>
        </w:rPr>
        <w:t xml:space="preserve">, </w:t>
      </w:r>
      <w:r>
        <w:rPr>
          <w:rFonts w:ascii="Times New Roman" w:hAnsi="Times New Roman" w:cs="Times New Roman"/>
          <w:bCs/>
          <w:i/>
          <w:sz w:val="24"/>
        </w:rPr>
        <w:t>329</w:t>
      </w:r>
      <w:r>
        <w:rPr>
          <w:rFonts w:ascii="Times New Roman" w:hAnsi="Times New Roman" w:cs="Times New Roman"/>
          <w:bCs/>
          <w:sz w:val="24"/>
        </w:rPr>
        <w:t>(5994): 940-943.</w:t>
      </w:r>
    </w:p>
    <w:sectPr w:rsidR="0078185C">
      <w:headerReference w:type="default" r:id="rId43"/>
      <w:footerReference w:type="default" r:id="rId44"/>
      <w:pgSz w:w="12240" w:h="15840"/>
      <w:pgMar w:top="1440" w:right="144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685200" w14:textId="77777777" w:rsidR="00D25CB4" w:rsidRDefault="00D25CB4">
      <w:r>
        <w:separator/>
      </w:r>
    </w:p>
  </w:endnote>
  <w:endnote w:type="continuationSeparator" w:id="0">
    <w:p w14:paraId="0D4A25C5" w14:textId="77777777" w:rsidR="00D25CB4" w:rsidRDefault="00D25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1"/>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1"/>
    <w:family w:val="swiss"/>
    <w:pitch w:val="variable"/>
  </w:font>
  <w:font w:name="Noto Sans CJK SC">
    <w:panose1 w:val="020B0604020202020204"/>
    <w:charset w:val="00"/>
    <w:family w:val="roman"/>
    <w:notTrueType/>
    <w:pitch w:val="default"/>
  </w:font>
  <w:font w:name="Lohit Devanagari">
    <w:altName w:val="MS Mincho"/>
    <w:panose1 w:val="020B0604020202020204"/>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asy10">
    <w:altName w:val="Cambria"/>
    <w:panose1 w:val="020B0604020202020204"/>
    <w:charset w:val="01"/>
    <w:family w:val="auto"/>
    <w:pitch w:val="default"/>
  </w:font>
  <w:font w:name="Webdings">
    <w:panose1 w:val="05030102010509060703"/>
    <w:charset w:val="4D"/>
    <w:family w:val="decorative"/>
    <w:pitch w:val="variable"/>
    <w:sig w:usb0="00000003" w:usb1="0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144DA7" w14:textId="77777777" w:rsidR="0078185C" w:rsidRDefault="00000000">
    <w:pPr>
      <w:pStyle w:val="Footer"/>
      <w:tabs>
        <w:tab w:val="clear" w:pos="4320"/>
        <w:tab w:val="clear" w:pos="8640"/>
        <w:tab w:val="left" w:pos="5948"/>
      </w:tabs>
    </w:pPr>
    <w:r>
      <w:rPr>
        <w:noProof/>
      </w:rPr>
      <mc:AlternateContent>
        <mc:Choice Requires="wps">
          <w:drawing>
            <wp:anchor distT="0" distB="0" distL="0" distR="0" simplePos="0" relativeHeight="31" behindDoc="1" locked="0" layoutInCell="1" allowOverlap="1" wp14:anchorId="05E2ACBB" wp14:editId="07777777">
              <wp:simplePos x="0" y="0"/>
              <wp:positionH relativeFrom="margin">
                <wp:align>center</wp:align>
              </wp:positionH>
              <wp:positionV relativeFrom="paragraph">
                <wp:posOffset>635</wp:posOffset>
              </wp:positionV>
              <wp:extent cx="15240" cy="174625"/>
              <wp:effectExtent l="0" t="0" r="0" b="0"/>
              <wp:wrapNone/>
              <wp:docPr id="2" name="Frame1"/>
              <wp:cNvGraphicFramePr/>
              <a:graphic xmlns:a="http://schemas.openxmlformats.org/drawingml/2006/main">
                <a:graphicData uri="http://schemas.microsoft.com/office/word/2010/wordprocessingShape">
                  <wps:wsp>
                    <wps:cNvSpPr/>
                    <wps:spPr>
                      <a:xfrm>
                        <a:off x="0" y="0"/>
                        <a:ext cx="14760" cy="173880"/>
                      </a:xfrm>
                      <a:prstGeom prst="rect">
                        <a:avLst/>
                      </a:prstGeom>
                      <a:noFill/>
                      <a:ln>
                        <a:noFill/>
                      </a:ln>
                    </wps:spPr>
                    <wps:style>
                      <a:lnRef idx="0">
                        <a:scrgbClr r="0" g="0" b="0"/>
                      </a:lnRef>
                      <a:fillRef idx="0">
                        <a:scrgbClr r="0" g="0" b="0"/>
                      </a:fillRef>
                      <a:effectRef idx="0">
                        <a:scrgbClr r="0" g="0" b="0"/>
                      </a:effectRef>
                      <a:fontRef idx="minor"/>
                    </wps:style>
                    <wps:txbx>
                      <w:txbxContent>
                        <w:p w14:paraId="740C982E" w14:textId="77777777" w:rsidR="0078185C" w:rsidRDefault="0078185C">
                          <w:pPr>
                            <w:pStyle w:val="Footer"/>
                            <w:rPr>
                              <w:rStyle w:val="PageNumber"/>
                            </w:rPr>
                          </w:pPr>
                        </w:p>
                      </w:txbxContent>
                    </wps:txbx>
                    <wps:bodyPr lIns="0" tIns="0" rIns="0" bIns="0">
                      <a:spAutoFit/>
                    </wps:bodyPr>
                  </wps:wsp>
                </a:graphicData>
              </a:graphic>
            </wp:anchor>
          </w:drawing>
        </mc:Choice>
        <mc:Fallback>
          <w:pict>
            <v:rect w14:anchorId="05E2ACBB" id="Frame1" o:spid="_x0000_s1034" style="position:absolute;margin-left:0;margin-top:.05pt;width:1.2pt;height:13.75pt;z-index:-503316449;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" filled="f" stroked="f">
              <v:textbox style="mso-fit-shape-to-text:t" inset="0,0,0,0">
                <w:txbxContent>
                  <w:p w14:paraId="740C982E" w14:textId="77777777" w:rsidR="0078185C" w:rsidRDefault="0078185C">
                    <w:pPr>
                      <w:pStyle w:val="Footer"/>
                      <w:rPr>
                        <w:rStyle w:val="PageNumber"/>
                      </w:rPr>
                    </w:pPr>
                  </w:p>
                </w:txbxContent>
              </v:textbox>
              <w10:wrap anchorx="margin"/>
            </v:rect>
          </w:pict>
        </mc:Fallback>
      </mc:AlternateConten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A92B2E" w14:textId="77777777" w:rsidR="0078185C" w:rsidRDefault="00000000">
    <w:pPr>
      <w:pStyle w:val="Footer"/>
      <w:tabs>
        <w:tab w:val="clear" w:pos="4320"/>
        <w:tab w:val="clear" w:pos="8640"/>
        <w:tab w:val="left" w:pos="5948"/>
      </w:tabs>
    </w:pPr>
    <w:r>
      <w:rPr>
        <w:noProof/>
      </w:rPr>
      <mc:AlternateContent>
        <mc:Choice Requires="wps">
          <w:drawing>
            <wp:anchor distT="0" distB="0" distL="0" distR="0" simplePos="0" relativeHeight="32" behindDoc="1" locked="0" layoutInCell="1" allowOverlap="1" wp14:anchorId="6F803775" wp14:editId="07777777">
              <wp:simplePos x="0" y="0"/>
              <wp:positionH relativeFrom="margin">
                <wp:align>center</wp:align>
              </wp:positionH>
              <wp:positionV relativeFrom="paragraph">
                <wp:posOffset>635</wp:posOffset>
              </wp:positionV>
              <wp:extent cx="15240" cy="174625"/>
              <wp:effectExtent l="0" t="0" r="0" b="0"/>
              <wp:wrapNone/>
              <wp:docPr id="4" name="Image1"/>
              <wp:cNvGraphicFramePr/>
              <a:graphic xmlns:a="http://schemas.openxmlformats.org/drawingml/2006/main">
                <a:graphicData uri="http://schemas.microsoft.com/office/word/2010/wordprocessingShape">
                  <wps:wsp>
                    <wps:cNvSpPr/>
                    <wps:spPr>
                      <a:xfrm>
                        <a:off x="0" y="0"/>
                        <a:ext cx="14760" cy="173880"/>
                      </a:xfrm>
                      <a:prstGeom prst="rect">
                        <a:avLst/>
                      </a:prstGeom>
                      <a:noFill/>
                      <a:ln>
                        <a:noFill/>
                      </a:ln>
                    </wps:spPr>
                    <wps:style>
                      <a:lnRef idx="0">
                        <a:scrgbClr r="0" g="0" b="0"/>
                      </a:lnRef>
                      <a:fillRef idx="0">
                        <a:scrgbClr r="0" g="0" b="0"/>
                      </a:fillRef>
                      <a:effectRef idx="0">
                        <a:scrgbClr r="0" g="0" b="0"/>
                      </a:effectRef>
                      <a:fontRef idx="minor"/>
                    </wps:style>
                    <wps:txbx>
                      <w:txbxContent>
                        <w:p w14:paraId="527D639D" w14:textId="77777777" w:rsidR="0078185C" w:rsidRDefault="0078185C">
                          <w:pPr>
                            <w:pStyle w:val="Footer"/>
                            <w:rPr>
                              <w:rStyle w:val="PageNumber"/>
                            </w:rPr>
                          </w:pPr>
                        </w:p>
                      </w:txbxContent>
                    </wps:txbx>
                    <wps:bodyPr lIns="0" tIns="0" rIns="0" bIns="0">
                      <a:spAutoFit/>
                    </wps:bodyPr>
                  </wps:wsp>
                </a:graphicData>
              </a:graphic>
            </wp:anchor>
          </w:drawing>
        </mc:Choice>
        <mc:Fallback>
          <w:pict>
            <v:rect w14:anchorId="6F803775" id="Image1" o:spid="_x0000_s1035" style="position:absolute;margin-left:0;margin-top:.05pt;width:1.2pt;height:13.75pt;z-index:-503316448;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" filled="f" stroked="f">
              <v:textbox style="mso-fit-shape-to-text:t" inset="0,0,0,0">
                <w:txbxContent>
                  <w:p w14:paraId="527D639D" w14:textId="77777777" w:rsidR="0078185C" w:rsidRDefault="0078185C">
                    <w:pPr>
                      <w:pStyle w:val="Footer"/>
                      <w:rPr>
                        <w:rStyle w:val="PageNumber"/>
                      </w:rPr>
                    </w:pPr>
                  </w:p>
                </w:txbxContent>
              </v:textbox>
              <w10:wrap anchorx="margin"/>
            </v:rect>
          </w:pict>
        </mc:Fallback>
      </mc:AlternateContent>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C39F9" w14:textId="7D0DA0CB" w:rsidR="0078185C" w:rsidRDefault="00000000">
    <w:pPr>
      <w:pStyle w:val="Header"/>
      <w:rPr>
        <w:sz w:val="20"/>
      </w:rPr>
    </w:pPr>
    <w:r>
      <w:rPr>
        <w:rFonts w:ascii="Times New Roman" w:hAnsi="Times New Roman" w:cs="Times New Roman"/>
        <w:sz w:val="20"/>
      </w:rPr>
      <w:t>Version 2.0,</w:t>
    </w:r>
    <w:r>
      <w:t xml:space="preserve"> </w:t>
    </w:r>
    <w:r w:rsidR="009377AB">
      <w:rPr>
        <w:rFonts w:ascii="Times New Roman" w:hAnsi="Times New Roman" w:cs="Times New Roman"/>
        <w:sz w:val="20"/>
      </w:rPr>
      <w:t>10</w:t>
    </w:r>
    <w:r>
      <w:rPr>
        <w:rFonts w:ascii="Times New Roman" w:hAnsi="Times New Roman" w:cs="Times New Roman"/>
        <w:sz w:val="20"/>
      </w:rPr>
      <w:t>/</w:t>
    </w:r>
    <w:r w:rsidR="00207FA1">
      <w:rPr>
        <w:rFonts w:ascii="Times New Roman" w:hAnsi="Times New Roman" w:cs="Times New Roman"/>
        <w:sz w:val="20"/>
      </w:rPr>
      <w:t>2</w:t>
    </w:r>
    <w:r w:rsidR="00833383">
      <w:rPr>
        <w:rFonts w:ascii="Times New Roman" w:hAnsi="Times New Roman" w:cs="Times New Roman"/>
        <w:sz w:val="20"/>
      </w:rPr>
      <w:t>8</w:t>
    </w:r>
    <w:r>
      <w:rPr>
        <w:rFonts w:ascii="Times New Roman" w:hAnsi="Times New Roman" w:cs="Times New Roman"/>
        <w:sz w:val="20"/>
      </w:rPr>
      <w:t>/202</w:t>
    </w:r>
    <w:r w:rsidR="009377AB">
      <w:rPr>
        <w:rFonts w:ascii="Times New Roman" w:hAnsi="Times New Roman" w:cs="Times New Roman"/>
        <w:sz w:val="20"/>
      </w:rPr>
      <w:t>4</w:t>
    </w:r>
    <w:r>
      <w:rPr>
        <w:sz w:val="20"/>
        <w:szCs w:val="20"/>
      </w:rPr>
      <w:t xml:space="preserve"> </w:t>
    </w:r>
    <w:r>
      <w:rPr>
        <w:rFonts w:ascii="Times New Roman" w:hAnsi="Times New Roman" w:cs="Times New Roman"/>
        <w:sz w:val="20"/>
      </w:rPr>
      <w:tab/>
      <w:t xml:space="preserve"> </w:t>
    </w:r>
    <w:r>
      <w:rPr>
        <w:rFonts w:ascii="Times New Roman" w:hAnsi="Times New Roman" w:cs="Times New Roman"/>
        <w:sz w:val="20"/>
      </w:rPr>
      <w:tab/>
      <w:t xml:space="preserve">                                                                             Page </w:t>
    </w:r>
    <w:r>
      <w:rPr>
        <w:rFonts w:ascii="Times New Roman" w:hAnsi="Times New Roman" w:cs="Times New Roman"/>
        <w:sz w:val="20"/>
      </w:rPr>
      <w:fldChar w:fldCharType="begin"/>
    </w:r>
    <w:r>
      <w:rPr>
        <w:rFonts w:ascii="Times New Roman" w:hAnsi="Times New Roman" w:cs="Times New Roman"/>
        <w:sz w:val="20"/>
      </w:rPr>
      <w:instrText>PAGE</w:instrText>
    </w:r>
    <w:r>
      <w:rPr>
        <w:rFonts w:ascii="Times New Roman" w:hAnsi="Times New Roman" w:cs="Times New Roman"/>
        <w:sz w:val="20"/>
      </w:rPr>
      <w:fldChar w:fldCharType="separate"/>
    </w:r>
    <w:r>
      <w:rPr>
        <w:rFonts w:ascii="Times New Roman" w:hAnsi="Times New Roman" w:cs="Times New Roman"/>
        <w:sz w:val="20"/>
      </w:rPr>
      <w:t>11</w:t>
    </w:r>
    <w:r>
      <w:rPr>
        <w:rFonts w:ascii="Times New Roman" w:hAnsi="Times New Roman" w:cs="Times New Roman"/>
        <w:sz w:val="20"/>
      </w:rPr>
      <w:fldChar w:fldCharType="end"/>
    </w:r>
    <w:r>
      <w:rPr>
        <w:rFonts w:ascii="Times New Roman" w:hAnsi="Times New Roman" w:cs="Times New Roman"/>
        <w:sz w:val="20"/>
      </w:rPr>
      <w:t xml:space="preserve"> of 3</w:t>
    </w:r>
    <w:r w:rsidR="00207FA1">
      <w:rPr>
        <w:rFonts w:ascii="Times New Roman" w:hAnsi="Times New Roman" w:cs="Times New Roman"/>
        <w:sz w:val="20"/>
      </w:rPr>
      <w:t>7</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DC100" w14:textId="77777777" w:rsidR="0078185C" w:rsidRDefault="0078185C"/>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DDEA4D" w14:textId="142C1961" w:rsidR="0078185C" w:rsidRDefault="00000000">
    <w:pPr>
      <w:pStyle w:val="Header"/>
      <w:rPr>
        <w:sz w:val="20"/>
      </w:rPr>
    </w:pPr>
    <w:r>
      <w:rPr>
        <w:rFonts w:ascii="Times New Roman" w:hAnsi="Times New Roman" w:cs="Times New Roman"/>
        <w:sz w:val="20"/>
      </w:rPr>
      <w:t>Version 2.0,</w:t>
    </w:r>
    <w:r>
      <w:t xml:space="preserve"> </w:t>
    </w:r>
    <w:r w:rsidR="00BA6CDE">
      <w:rPr>
        <w:rFonts w:ascii="Times New Roman" w:hAnsi="Times New Roman" w:cs="Times New Roman"/>
        <w:sz w:val="20"/>
      </w:rPr>
      <w:t>10</w:t>
    </w:r>
    <w:r>
      <w:rPr>
        <w:rFonts w:ascii="Times New Roman" w:hAnsi="Times New Roman" w:cs="Times New Roman"/>
        <w:sz w:val="20"/>
      </w:rPr>
      <w:t>/</w:t>
    </w:r>
    <w:r w:rsidR="00207FA1">
      <w:rPr>
        <w:rFonts w:ascii="Times New Roman" w:hAnsi="Times New Roman" w:cs="Times New Roman"/>
        <w:sz w:val="20"/>
      </w:rPr>
      <w:t>2</w:t>
    </w:r>
    <w:r w:rsidR="00833383">
      <w:rPr>
        <w:rFonts w:ascii="Times New Roman" w:hAnsi="Times New Roman" w:cs="Times New Roman"/>
        <w:sz w:val="20"/>
      </w:rPr>
      <w:t>8</w:t>
    </w:r>
    <w:r>
      <w:rPr>
        <w:rFonts w:ascii="Times New Roman" w:hAnsi="Times New Roman" w:cs="Times New Roman"/>
        <w:sz w:val="20"/>
      </w:rPr>
      <w:t>/202</w:t>
    </w:r>
    <w:r w:rsidR="00BA6CDE">
      <w:rPr>
        <w:rFonts w:ascii="Times New Roman" w:hAnsi="Times New Roman" w:cs="Times New Roman"/>
        <w:sz w:val="20"/>
      </w:rPr>
      <w:t>4</w:t>
    </w:r>
    <w:r>
      <w:rPr>
        <w:rFonts w:ascii="Times New Roman" w:hAnsi="Times New Roman" w:cs="Times New Roman"/>
        <w:sz w:val="20"/>
      </w:rPr>
      <w:tab/>
      <w:t xml:space="preserve"> </w:t>
    </w:r>
    <w:r>
      <w:rPr>
        <w:rFonts w:ascii="Times New Roman" w:hAnsi="Times New Roman" w:cs="Times New Roman"/>
        <w:sz w:val="20"/>
      </w:rPr>
      <w:tab/>
      <w:t xml:space="preserve">                                                                             Page </w:t>
    </w:r>
    <w:r>
      <w:rPr>
        <w:rFonts w:ascii="Times New Roman" w:hAnsi="Times New Roman" w:cs="Times New Roman"/>
        <w:sz w:val="20"/>
      </w:rPr>
      <w:fldChar w:fldCharType="begin"/>
    </w:r>
    <w:r>
      <w:rPr>
        <w:rFonts w:ascii="Times New Roman" w:hAnsi="Times New Roman" w:cs="Times New Roman"/>
        <w:sz w:val="20"/>
      </w:rPr>
      <w:instrText>PAGE</w:instrText>
    </w:r>
    <w:r>
      <w:rPr>
        <w:rFonts w:ascii="Times New Roman" w:hAnsi="Times New Roman" w:cs="Times New Roman"/>
        <w:sz w:val="20"/>
      </w:rPr>
      <w:fldChar w:fldCharType="separate"/>
    </w:r>
    <w:r>
      <w:rPr>
        <w:rFonts w:ascii="Times New Roman" w:hAnsi="Times New Roman" w:cs="Times New Roman"/>
        <w:sz w:val="20"/>
      </w:rPr>
      <w:t>37</w:t>
    </w:r>
    <w:r>
      <w:rPr>
        <w:rFonts w:ascii="Times New Roman" w:hAnsi="Times New Roman" w:cs="Times New Roman"/>
        <w:sz w:val="20"/>
      </w:rPr>
      <w:fldChar w:fldCharType="end"/>
    </w:r>
    <w:r>
      <w:rPr>
        <w:rFonts w:ascii="Times New Roman" w:hAnsi="Times New Roman" w:cs="Times New Roman"/>
        <w:sz w:val="20"/>
      </w:rPr>
      <w:t xml:space="preserve"> of 3</w:t>
    </w:r>
    <w:r w:rsidR="00207FA1">
      <w:rPr>
        <w:rFonts w:ascii="Times New Roman" w:hAnsi="Times New Roman" w:cs="Times New Roman"/>
        <w:sz w:val="20"/>
      </w:rPr>
      <w:t>7</w:t>
    </w:r>
  </w:p>
  <w:p w14:paraId="0A821549" w14:textId="77777777" w:rsidR="0078185C" w:rsidRDefault="007818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B049C3" w14:textId="77777777" w:rsidR="00D25CB4" w:rsidRDefault="00D25CB4">
      <w:r>
        <w:separator/>
      </w:r>
    </w:p>
  </w:footnote>
  <w:footnote w:type="continuationSeparator" w:id="0">
    <w:p w14:paraId="68E0489E" w14:textId="77777777" w:rsidR="00D25CB4" w:rsidRDefault="00D25C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13041" w14:textId="77777777" w:rsidR="0078185C" w:rsidRDefault="00000000">
    <w:pPr>
      <w:pStyle w:val="Header"/>
    </w:pPr>
    <w:r>
      <w:rPr>
        <w:rFonts w:ascii="Times New Roman" w:hAnsi="Times New Roman" w:cs="Times New Roman"/>
        <w:i/>
        <w:iCs/>
        <w:sz w:val="20"/>
        <w:u w:val="single"/>
      </w:rPr>
      <w:t xml:space="preserve">VNP17/VJ117 User’s Guide                 </w:t>
    </w:r>
    <w:r>
      <w:rPr>
        <w:rFonts w:ascii="Times New Roman" w:hAnsi="Times New Roman" w:cs="Times New Roman"/>
        <w:i/>
        <w:iCs/>
        <w:sz w:val="20"/>
        <w:u w:val="single"/>
      </w:rPr>
      <w:tab/>
      <w:t xml:space="preserve"> </w:t>
    </w:r>
    <w:r>
      <w:rPr>
        <w:rFonts w:ascii="Times New Roman" w:hAnsi="Times New Roman" w:cs="Times New Roman"/>
        <w:i/>
        <w:iCs/>
        <w:sz w:val="20"/>
        <w:u w:val="single"/>
      </w:rPr>
      <w:tab/>
      <w:t xml:space="preserve">                                                       VIIRS Land Data Product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EC45C" w14:textId="77777777" w:rsidR="0078185C" w:rsidRDefault="0078185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FE0BC" w14:textId="77777777" w:rsidR="0078185C" w:rsidRDefault="00000000">
    <w:pPr>
      <w:pStyle w:val="Header"/>
    </w:pPr>
    <w:r>
      <w:rPr>
        <w:rFonts w:ascii="Times New Roman" w:hAnsi="Times New Roman" w:cs="Times New Roman"/>
        <w:i/>
        <w:iCs/>
        <w:sz w:val="20"/>
        <w:u w:val="single"/>
      </w:rPr>
      <w:t xml:space="preserve">VNP17/VJ117 User’s Guide                 </w:t>
    </w:r>
    <w:r>
      <w:rPr>
        <w:rFonts w:ascii="Times New Roman" w:hAnsi="Times New Roman" w:cs="Times New Roman"/>
        <w:i/>
        <w:iCs/>
        <w:sz w:val="20"/>
        <w:u w:val="single"/>
      </w:rPr>
      <w:tab/>
      <w:t xml:space="preserve"> </w:t>
    </w:r>
    <w:r>
      <w:rPr>
        <w:rFonts w:ascii="Times New Roman" w:hAnsi="Times New Roman" w:cs="Times New Roman"/>
        <w:i/>
        <w:iCs/>
        <w:sz w:val="20"/>
        <w:u w:val="single"/>
      </w:rPr>
      <w:tab/>
      <w:t xml:space="preserve">                                                          VIIRS Land Data Product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4E15A19"/>
    <w:multiLevelType w:val="multilevel"/>
    <w:tmpl w:val="D58C087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79BED950"/>
    <w:multiLevelType w:val="multilevel"/>
    <w:tmpl w:val="956834E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num w:numId="1" w16cid:durableId="318121264">
    <w:abstractNumId w:val="1"/>
  </w:num>
  <w:num w:numId="2" w16cid:durableId="9660126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CEBCEED"/>
    <w:rsid w:val="000135A6"/>
    <w:rsid w:val="000322BB"/>
    <w:rsid w:val="00033BFB"/>
    <w:rsid w:val="00051F40"/>
    <w:rsid w:val="00057098"/>
    <w:rsid w:val="00071968"/>
    <w:rsid w:val="000724E7"/>
    <w:rsid w:val="00086242"/>
    <w:rsid w:val="000945C5"/>
    <w:rsid w:val="00095AFE"/>
    <w:rsid w:val="000A5471"/>
    <w:rsid w:val="000B09FC"/>
    <w:rsid w:val="000B150A"/>
    <w:rsid w:val="00107ECF"/>
    <w:rsid w:val="0017738F"/>
    <w:rsid w:val="00185E6D"/>
    <w:rsid w:val="001A6180"/>
    <w:rsid w:val="001B2297"/>
    <w:rsid w:val="001B7885"/>
    <w:rsid w:val="001E3032"/>
    <w:rsid w:val="001E6431"/>
    <w:rsid w:val="001E7D55"/>
    <w:rsid w:val="00207FA1"/>
    <w:rsid w:val="00240839"/>
    <w:rsid w:val="002B1393"/>
    <w:rsid w:val="002C1C33"/>
    <w:rsid w:val="00315A2B"/>
    <w:rsid w:val="0034749A"/>
    <w:rsid w:val="00380B3B"/>
    <w:rsid w:val="003D7065"/>
    <w:rsid w:val="003F082E"/>
    <w:rsid w:val="003F470C"/>
    <w:rsid w:val="003F4D42"/>
    <w:rsid w:val="004044DE"/>
    <w:rsid w:val="00420C44"/>
    <w:rsid w:val="00423737"/>
    <w:rsid w:val="004469E0"/>
    <w:rsid w:val="004522EA"/>
    <w:rsid w:val="004720B6"/>
    <w:rsid w:val="004A3A2A"/>
    <w:rsid w:val="004A3DD3"/>
    <w:rsid w:val="004B75FE"/>
    <w:rsid w:val="004F0050"/>
    <w:rsid w:val="004F507E"/>
    <w:rsid w:val="004F7117"/>
    <w:rsid w:val="00551081"/>
    <w:rsid w:val="005D2075"/>
    <w:rsid w:val="005F009D"/>
    <w:rsid w:val="006238BD"/>
    <w:rsid w:val="0063439D"/>
    <w:rsid w:val="00672E77"/>
    <w:rsid w:val="0068201A"/>
    <w:rsid w:val="006A2050"/>
    <w:rsid w:val="006B33A0"/>
    <w:rsid w:val="006B3CF0"/>
    <w:rsid w:val="006C0E82"/>
    <w:rsid w:val="006C5ACA"/>
    <w:rsid w:val="006C5ACE"/>
    <w:rsid w:val="006C7E16"/>
    <w:rsid w:val="006E305F"/>
    <w:rsid w:val="006F1356"/>
    <w:rsid w:val="007274A9"/>
    <w:rsid w:val="007426A1"/>
    <w:rsid w:val="00744225"/>
    <w:rsid w:val="00761723"/>
    <w:rsid w:val="00775511"/>
    <w:rsid w:val="0078185C"/>
    <w:rsid w:val="007852CC"/>
    <w:rsid w:val="007B2AFA"/>
    <w:rsid w:val="007C1923"/>
    <w:rsid w:val="007D37B9"/>
    <w:rsid w:val="007D707C"/>
    <w:rsid w:val="007E05A2"/>
    <w:rsid w:val="007E3FD4"/>
    <w:rsid w:val="007F0466"/>
    <w:rsid w:val="00817718"/>
    <w:rsid w:val="0081795D"/>
    <w:rsid w:val="0082109F"/>
    <w:rsid w:val="008233B1"/>
    <w:rsid w:val="00826DD1"/>
    <w:rsid w:val="00833383"/>
    <w:rsid w:val="00845BCA"/>
    <w:rsid w:val="00852794"/>
    <w:rsid w:val="00855DCB"/>
    <w:rsid w:val="008A316B"/>
    <w:rsid w:val="008A7A16"/>
    <w:rsid w:val="008C17B8"/>
    <w:rsid w:val="00920D37"/>
    <w:rsid w:val="00926762"/>
    <w:rsid w:val="00930E36"/>
    <w:rsid w:val="00932722"/>
    <w:rsid w:val="009377AB"/>
    <w:rsid w:val="00944DDB"/>
    <w:rsid w:val="00955694"/>
    <w:rsid w:val="00972B56"/>
    <w:rsid w:val="00977C54"/>
    <w:rsid w:val="00987F76"/>
    <w:rsid w:val="009943F8"/>
    <w:rsid w:val="00997CF0"/>
    <w:rsid w:val="009A5B3E"/>
    <w:rsid w:val="00A230C0"/>
    <w:rsid w:val="00A23C9E"/>
    <w:rsid w:val="00A24057"/>
    <w:rsid w:val="00A51ECA"/>
    <w:rsid w:val="00A57854"/>
    <w:rsid w:val="00A60479"/>
    <w:rsid w:val="00A651BA"/>
    <w:rsid w:val="00A75F53"/>
    <w:rsid w:val="00A77508"/>
    <w:rsid w:val="00A86EC1"/>
    <w:rsid w:val="00AA4341"/>
    <w:rsid w:val="00AE4FE3"/>
    <w:rsid w:val="00B56C43"/>
    <w:rsid w:val="00B82FF9"/>
    <w:rsid w:val="00B83A58"/>
    <w:rsid w:val="00BA6CDE"/>
    <w:rsid w:val="00BD45B9"/>
    <w:rsid w:val="00BD53F6"/>
    <w:rsid w:val="00BE1053"/>
    <w:rsid w:val="00BE46F0"/>
    <w:rsid w:val="00BF6394"/>
    <w:rsid w:val="00C01C7A"/>
    <w:rsid w:val="00C27036"/>
    <w:rsid w:val="00C751D4"/>
    <w:rsid w:val="00CA387B"/>
    <w:rsid w:val="00CA6D6E"/>
    <w:rsid w:val="00CB09C8"/>
    <w:rsid w:val="00CB1270"/>
    <w:rsid w:val="00CD52CC"/>
    <w:rsid w:val="00CE49AA"/>
    <w:rsid w:val="00CF698A"/>
    <w:rsid w:val="00D17D26"/>
    <w:rsid w:val="00D247F4"/>
    <w:rsid w:val="00D25CB4"/>
    <w:rsid w:val="00D30610"/>
    <w:rsid w:val="00D44F39"/>
    <w:rsid w:val="00D9082A"/>
    <w:rsid w:val="00DA1D07"/>
    <w:rsid w:val="00DA46BE"/>
    <w:rsid w:val="00DA590B"/>
    <w:rsid w:val="00DC33B8"/>
    <w:rsid w:val="00DD52A0"/>
    <w:rsid w:val="00DE4855"/>
    <w:rsid w:val="00DF08DA"/>
    <w:rsid w:val="00DF25F6"/>
    <w:rsid w:val="00DF3360"/>
    <w:rsid w:val="00E26759"/>
    <w:rsid w:val="00E47BCE"/>
    <w:rsid w:val="00E712A6"/>
    <w:rsid w:val="00E96606"/>
    <w:rsid w:val="00EA239A"/>
    <w:rsid w:val="00ED49E7"/>
    <w:rsid w:val="00EE3FA6"/>
    <w:rsid w:val="00F07767"/>
    <w:rsid w:val="00F16383"/>
    <w:rsid w:val="00F237FD"/>
    <w:rsid w:val="00F67F6E"/>
    <w:rsid w:val="00F77DEA"/>
    <w:rsid w:val="00F8564C"/>
    <w:rsid w:val="00F90783"/>
    <w:rsid w:val="00F921CD"/>
    <w:rsid w:val="00FA0220"/>
    <w:rsid w:val="00FB202C"/>
    <w:rsid w:val="00FD0D9C"/>
    <w:rsid w:val="00FD29D5"/>
    <w:rsid w:val="00FE1F89"/>
    <w:rsid w:val="29B8089E"/>
    <w:rsid w:val="6CEBCEED"/>
  </w:rsids>
  <m:mathPr>
    <m:mathFont m:val="Cambria Math"/>
    <m:brkBin m:val="before"/>
    <m:brkBinSub m:val="--"/>
    <m:smallFrac m:val="0"/>
    <m:dispDef/>
    <m:lMargin m:val="0"/>
    <m:rMargin m:val="0"/>
    <m:defJc m:val="centerGroup"/>
    <m:wrapIndent m:val="1440"/>
    <m:intLim m:val="subSup"/>
    <m:naryLim m:val="undOvr"/>
  </m:mathPr>
  <w:themeFontLang w:val="en-US"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EB908"/>
  <w15:docId w15:val="{CA4040E1-BA1D-4634-B81F-0ABD3C43E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1"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BE4"/>
    <w:rPr>
      <w:rFonts w:eastAsia="Times New Roman"/>
      <w:sz w:val="24"/>
      <w:szCs w:val="24"/>
    </w:rPr>
  </w:style>
  <w:style w:type="paragraph" w:styleId="Heading1">
    <w:name w:val="heading 1"/>
    <w:basedOn w:val="Normal"/>
    <w:next w:val="Normal"/>
    <w:qFormat/>
    <w:pPr>
      <w:keepNext/>
      <w:outlineLvl w:val="0"/>
    </w:pPr>
    <w:rPr>
      <w:rFonts w:eastAsia="Batang"/>
      <w:b/>
      <w:bCs/>
    </w:rPr>
  </w:style>
  <w:style w:type="paragraph" w:styleId="Heading2">
    <w:name w:val="heading 2"/>
    <w:basedOn w:val="Normal"/>
    <w:next w:val="Normal"/>
    <w:qFormat/>
    <w:pPr>
      <w:keepNext/>
      <w:outlineLvl w:val="1"/>
    </w:pPr>
    <w:rPr>
      <w:rFonts w:eastAsia="Batang"/>
      <w:b/>
      <w:bCs/>
    </w:rPr>
  </w:style>
  <w:style w:type="paragraph" w:styleId="Heading3">
    <w:name w:val="heading 3"/>
    <w:basedOn w:val="Normal"/>
    <w:next w:val="Normal"/>
    <w:qFormat/>
    <w:pPr>
      <w:keepNext/>
      <w:jc w:val="center"/>
      <w:outlineLvl w:val="2"/>
    </w:pPr>
    <w:rPr>
      <w:rFonts w:eastAsia="Batang"/>
      <w:b/>
      <w:bCs/>
      <w:i/>
      <w:iCs/>
    </w:rPr>
  </w:style>
  <w:style w:type="paragraph" w:styleId="Heading4">
    <w:name w:val="heading 4"/>
    <w:basedOn w:val="Normal"/>
    <w:next w:val="Normal"/>
    <w:qFormat/>
    <w:pPr>
      <w:keepNext/>
      <w:widowControl w:val="0"/>
      <w:outlineLvl w:val="3"/>
    </w:pPr>
    <w:rPr>
      <w:rFonts w:eastAsia="Batang"/>
      <w:b/>
      <w:sz w:val="20"/>
      <w:szCs w:val="20"/>
    </w:rPr>
  </w:style>
  <w:style w:type="paragraph" w:styleId="Heading5">
    <w:name w:val="heading 5"/>
    <w:basedOn w:val="Normal"/>
    <w:next w:val="Normal"/>
    <w:qFormat/>
    <w:pPr>
      <w:spacing w:before="240" w:after="60"/>
      <w:outlineLvl w:val="4"/>
    </w:pPr>
    <w:rPr>
      <w:rFonts w:ascii="Arial" w:eastAsia="Batang" w:hAnsi="Arial" w:cs="Arial"/>
      <w:b/>
      <w:bCs/>
      <w:i/>
      <w:iCs/>
      <w:sz w:val="26"/>
      <w:szCs w:val="26"/>
    </w:rPr>
  </w:style>
  <w:style w:type="paragraph" w:styleId="Heading6">
    <w:name w:val="heading 6"/>
    <w:basedOn w:val="Normal"/>
    <w:next w:val="Normal"/>
    <w:qFormat/>
    <w:pPr>
      <w:spacing w:before="240" w:after="60"/>
      <w:outlineLvl w:val="5"/>
    </w:pPr>
    <w:rPr>
      <w:rFonts w:eastAsia="Batang"/>
      <w:b/>
      <w:sz w:val="22"/>
      <w:szCs w:val="22"/>
    </w:rPr>
  </w:style>
  <w:style w:type="paragraph" w:styleId="Heading7">
    <w:name w:val="heading 7"/>
    <w:basedOn w:val="Normal"/>
    <w:next w:val="Normal"/>
    <w:qFormat/>
    <w:pPr>
      <w:spacing w:before="240" w:after="60"/>
      <w:outlineLvl w:val="6"/>
    </w:pPr>
    <w:rPr>
      <w:rFonts w:eastAsia="Batang"/>
      <w:bCs/>
    </w:rPr>
  </w:style>
  <w:style w:type="paragraph" w:styleId="Heading8">
    <w:name w:val="heading 8"/>
    <w:basedOn w:val="Normal"/>
    <w:next w:val="Normal"/>
    <w:qFormat/>
    <w:pPr>
      <w:spacing w:before="240" w:after="60"/>
      <w:outlineLvl w:val="7"/>
    </w:pPr>
    <w:rPr>
      <w:rFonts w:eastAsia="Batang"/>
      <w:bCs/>
      <w:i/>
      <w:iCs/>
    </w:rPr>
  </w:style>
  <w:style w:type="paragraph" w:styleId="Heading9">
    <w:name w:val="heading 9"/>
    <w:basedOn w:val="Normal"/>
    <w:next w:val="Normal"/>
    <w:qFormat/>
    <w:pPr>
      <w:spacing w:before="240" w:after="60"/>
      <w:outlineLvl w:val="8"/>
    </w:pPr>
    <w:rPr>
      <w:rFonts w:ascii="Arial" w:eastAsia="Batang" w:hAnsi="Arial" w:cs="Arial"/>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qFormat/>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character" w:customStyle="1" w:styleId="redtext1">
    <w:name w:val="redtext1"/>
    <w:qFormat/>
    <w:rPr>
      <w:color w:val="FF0000"/>
    </w:rPr>
  </w:style>
  <w:style w:type="character" w:customStyle="1" w:styleId="BalloonTextChar">
    <w:name w:val="Balloon Text Char"/>
    <w:link w:val="BalloonText"/>
    <w:uiPriority w:val="99"/>
    <w:semiHidden/>
    <w:qFormat/>
    <w:rsid w:val="00743651"/>
    <w:rPr>
      <w:rFonts w:ascii="Tahoma" w:hAnsi="Tahoma" w:cs="Tahoma"/>
      <w:bCs/>
      <w:sz w:val="16"/>
      <w:szCs w:val="16"/>
    </w:rPr>
  </w:style>
  <w:style w:type="character" w:styleId="CommentReference">
    <w:name w:val="annotation reference"/>
    <w:basedOn w:val="DefaultParagraphFont"/>
    <w:uiPriority w:val="99"/>
    <w:semiHidden/>
    <w:unhideWhenUsed/>
    <w:qFormat/>
    <w:rsid w:val="0049235B"/>
    <w:rPr>
      <w:sz w:val="18"/>
      <w:szCs w:val="18"/>
    </w:rPr>
  </w:style>
  <w:style w:type="character" w:customStyle="1" w:styleId="CommentTextChar">
    <w:name w:val="Comment Text Char"/>
    <w:basedOn w:val="DefaultParagraphFont"/>
    <w:link w:val="CommentText"/>
    <w:uiPriority w:val="99"/>
    <w:semiHidden/>
    <w:qFormat/>
    <w:rsid w:val="0049235B"/>
    <w:rPr>
      <w:rFonts w:ascii="Arial" w:hAnsi="Arial" w:cs="Arial"/>
      <w:bCs/>
    </w:rPr>
  </w:style>
  <w:style w:type="character" w:customStyle="1" w:styleId="CommentSubjectChar">
    <w:name w:val="Comment Subject Char"/>
    <w:basedOn w:val="CommentTextChar"/>
    <w:link w:val="CommentSubject"/>
    <w:uiPriority w:val="99"/>
    <w:semiHidden/>
    <w:qFormat/>
    <w:rsid w:val="0049235B"/>
    <w:rPr>
      <w:rFonts w:ascii="Arial" w:hAnsi="Arial" w:cs="Arial"/>
      <w:b/>
      <w:bCs/>
    </w:rPr>
  </w:style>
  <w:style w:type="character" w:styleId="PlaceholderText">
    <w:name w:val="Placeholder Text"/>
    <w:basedOn w:val="DefaultParagraphFont"/>
    <w:uiPriority w:val="67"/>
    <w:qFormat/>
    <w:rsid w:val="00EA7343"/>
    <w:rPr>
      <w:color w:val="808080"/>
    </w:rPr>
  </w:style>
  <w:style w:type="character" w:customStyle="1" w:styleId="HeaderChar">
    <w:name w:val="Header Char"/>
    <w:basedOn w:val="DefaultParagraphFont"/>
    <w:link w:val="Header"/>
    <w:uiPriority w:val="99"/>
    <w:qFormat/>
    <w:rsid w:val="0084375B"/>
    <w:rPr>
      <w:rFonts w:ascii="Arial" w:hAnsi="Arial" w:cs="Arial"/>
      <w:bCs/>
      <w:sz w:val="24"/>
      <w:szCs w:val="24"/>
    </w:rPr>
  </w:style>
  <w:style w:type="character" w:styleId="HTMLTypewriter">
    <w:name w:val="HTML Typewriter"/>
    <w:basedOn w:val="DefaultParagraphFont"/>
    <w:uiPriority w:val="99"/>
    <w:semiHidden/>
    <w:unhideWhenUsed/>
    <w:qFormat/>
    <w:rsid w:val="001B5A30"/>
    <w:rPr>
      <w:rFonts w:ascii="Courier New" w:eastAsia="Times New Roman" w:hAnsi="Courier New" w:cs="Courier New"/>
      <w:sz w:val="20"/>
      <w:szCs w:val="20"/>
    </w:rPr>
  </w:style>
  <w:style w:type="character" w:customStyle="1" w:styleId="PlainTextChar">
    <w:name w:val="Plain Text Char"/>
    <w:basedOn w:val="DefaultParagraphFont"/>
    <w:link w:val="PlainText"/>
    <w:semiHidden/>
    <w:qFormat/>
    <w:rsid w:val="000742F5"/>
    <w:rPr>
      <w:rFonts w:ascii="Courier New" w:hAnsi="Courier New" w:cs="Courier New"/>
    </w:rPr>
  </w:style>
  <w:style w:type="character" w:styleId="UnresolvedMention">
    <w:name w:val="Unresolved Mention"/>
    <w:basedOn w:val="DefaultParagraphFont"/>
    <w:uiPriority w:val="99"/>
    <w:semiHidden/>
    <w:unhideWhenUsed/>
    <w:qFormat/>
    <w:rsid w:val="00CB5852"/>
    <w:rPr>
      <w:color w:val="605E5C"/>
      <w:shd w:val="clear" w:color="auto" w:fill="E1DFDD"/>
    </w:rPr>
  </w:style>
  <w:style w:type="character" w:styleId="HTMLCite">
    <w:name w:val="HTML Cite"/>
    <w:basedOn w:val="DefaultParagraphFont"/>
    <w:uiPriority w:val="99"/>
    <w:semiHidden/>
    <w:unhideWhenUsed/>
    <w:qFormat/>
    <w:rsid w:val="004D3058"/>
    <w:rPr>
      <w:i/>
      <w:i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semiHidden/>
    <w:pPr>
      <w:spacing w:after="120"/>
    </w:pPr>
    <w:rPr>
      <w:rFonts w:ascii="Arial" w:eastAsia="Batang" w:hAnsi="Arial" w:cs="Arial"/>
      <w:bCs/>
    </w:rPr>
  </w:style>
  <w:style w:type="paragraph" w:styleId="List">
    <w:name w:val="List"/>
    <w:basedOn w:val="Normal"/>
    <w:semiHidden/>
    <w:pPr>
      <w:ind w:left="360" w:hanging="360"/>
    </w:pPr>
    <w:rPr>
      <w:rFonts w:ascii="Arial" w:eastAsia="Batang" w:hAnsi="Arial" w:cs="Arial"/>
      <w:bCs/>
    </w:rPr>
  </w:style>
  <w:style w:type="paragraph" w:styleId="Caption">
    <w:name w:val="caption"/>
    <w:basedOn w:val="Normal"/>
    <w:next w:val="Normal"/>
    <w:qFormat/>
    <w:pPr>
      <w:spacing w:before="120" w:after="120"/>
    </w:pPr>
    <w:rPr>
      <w:rFonts w:eastAsia="Batang"/>
      <w:b/>
      <w:bCs/>
      <w:sz w:val="20"/>
      <w:szCs w:val="20"/>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styleId="Header">
    <w:name w:val="header"/>
    <w:basedOn w:val="Normal"/>
    <w:link w:val="HeaderChar"/>
    <w:uiPriority w:val="99"/>
    <w:pPr>
      <w:tabs>
        <w:tab w:val="center" w:pos="4320"/>
        <w:tab w:val="right" w:pos="8640"/>
      </w:tabs>
    </w:pPr>
    <w:rPr>
      <w:rFonts w:ascii="Arial" w:eastAsia="Batang" w:hAnsi="Arial" w:cs="Arial"/>
      <w:bCs/>
    </w:rPr>
  </w:style>
  <w:style w:type="paragraph" w:styleId="Footer">
    <w:name w:val="footer"/>
    <w:basedOn w:val="Normal"/>
    <w:semiHidden/>
    <w:pPr>
      <w:tabs>
        <w:tab w:val="center" w:pos="4320"/>
        <w:tab w:val="right" w:pos="8640"/>
      </w:tabs>
    </w:pPr>
    <w:rPr>
      <w:rFonts w:ascii="Arial" w:eastAsia="Batang" w:hAnsi="Arial" w:cs="Arial"/>
      <w:bCs/>
    </w:rPr>
  </w:style>
  <w:style w:type="paragraph" w:styleId="BodyTextIndent">
    <w:name w:val="Body Text Indent"/>
    <w:basedOn w:val="BodyText"/>
    <w:semiHidden/>
    <w:qFormat/>
    <w:pPr>
      <w:ind w:firstLine="210"/>
    </w:pPr>
  </w:style>
  <w:style w:type="paragraph" w:styleId="PlainText">
    <w:name w:val="Plain Text"/>
    <w:basedOn w:val="Normal"/>
    <w:link w:val="PlainTextChar"/>
    <w:semiHidden/>
    <w:qFormat/>
    <w:rPr>
      <w:rFonts w:ascii="Courier New" w:eastAsia="Batang" w:hAnsi="Courier New" w:cs="Courier New"/>
      <w:sz w:val="20"/>
      <w:szCs w:val="20"/>
    </w:rPr>
  </w:style>
  <w:style w:type="paragraph" w:styleId="DocumentMap">
    <w:name w:val="Document Map"/>
    <w:basedOn w:val="Normal"/>
    <w:semiHidden/>
    <w:qFormat/>
    <w:pPr>
      <w:shd w:val="clear" w:color="auto" w:fill="000080"/>
    </w:pPr>
    <w:rPr>
      <w:rFonts w:ascii="Tahoma" w:eastAsia="Batang" w:hAnsi="Tahoma" w:cs="Tahoma"/>
      <w:bCs/>
    </w:rPr>
  </w:style>
  <w:style w:type="paragraph" w:styleId="NormalWeb">
    <w:name w:val="Normal (Web)"/>
    <w:basedOn w:val="Normal"/>
    <w:uiPriority w:val="99"/>
    <w:semiHidden/>
    <w:qFormat/>
    <w:pPr>
      <w:spacing w:beforeAutospacing="1" w:afterAutospacing="1"/>
    </w:pPr>
    <w:rPr>
      <w:rFonts w:ascii="Arial Unicode MS" w:eastAsia="Arial Unicode MS" w:hAnsi="Arial Unicode MS" w:cs="Arial Unicode MS"/>
      <w:color w:val="000000"/>
    </w:rPr>
  </w:style>
  <w:style w:type="paragraph" w:styleId="BlockText">
    <w:name w:val="Block Text"/>
    <w:basedOn w:val="Normal"/>
    <w:semiHidden/>
    <w:qFormat/>
    <w:pPr>
      <w:spacing w:after="120"/>
      <w:ind w:left="1440" w:right="1440"/>
    </w:pPr>
    <w:rPr>
      <w:rFonts w:ascii="Arial" w:eastAsia="Batang" w:hAnsi="Arial" w:cs="Arial"/>
      <w:bCs/>
    </w:rPr>
  </w:style>
  <w:style w:type="paragraph" w:styleId="BodyText2">
    <w:name w:val="Body Text 2"/>
    <w:basedOn w:val="Normal"/>
    <w:semiHidden/>
    <w:qFormat/>
    <w:pPr>
      <w:spacing w:after="120" w:line="480" w:lineRule="auto"/>
    </w:pPr>
    <w:rPr>
      <w:rFonts w:ascii="Arial" w:eastAsia="Batang" w:hAnsi="Arial" w:cs="Arial"/>
      <w:bCs/>
    </w:rPr>
  </w:style>
  <w:style w:type="paragraph" w:styleId="BodyText3">
    <w:name w:val="Body Text 3"/>
    <w:basedOn w:val="Normal"/>
    <w:semiHidden/>
    <w:qFormat/>
    <w:pPr>
      <w:spacing w:after="120"/>
    </w:pPr>
    <w:rPr>
      <w:rFonts w:ascii="Arial" w:eastAsia="Batang" w:hAnsi="Arial" w:cs="Arial"/>
      <w:bCs/>
      <w:sz w:val="16"/>
      <w:szCs w:val="16"/>
    </w:rPr>
  </w:style>
  <w:style w:type="paragraph" w:styleId="BodyTextFirstIndent2">
    <w:name w:val="Body Text First Indent 2"/>
    <w:basedOn w:val="BodyTextIndent"/>
    <w:semiHidden/>
    <w:qFormat/>
    <w:pPr>
      <w:ind w:left="360"/>
    </w:pPr>
  </w:style>
  <w:style w:type="paragraph" w:styleId="BodyTextIndent2">
    <w:name w:val="Body Text Indent 2"/>
    <w:basedOn w:val="Normal"/>
    <w:semiHidden/>
    <w:qFormat/>
    <w:pPr>
      <w:spacing w:after="120" w:line="480" w:lineRule="auto"/>
      <w:ind w:left="360"/>
    </w:pPr>
    <w:rPr>
      <w:rFonts w:ascii="Arial" w:eastAsia="Batang" w:hAnsi="Arial" w:cs="Arial"/>
      <w:bCs/>
    </w:rPr>
  </w:style>
  <w:style w:type="paragraph" w:styleId="BodyTextIndent3">
    <w:name w:val="Body Text Indent 3"/>
    <w:basedOn w:val="Normal"/>
    <w:semiHidden/>
    <w:qFormat/>
    <w:pPr>
      <w:spacing w:after="120"/>
      <w:ind w:left="360"/>
    </w:pPr>
    <w:rPr>
      <w:rFonts w:ascii="Arial" w:eastAsia="Batang" w:hAnsi="Arial" w:cs="Arial"/>
      <w:bCs/>
      <w:sz w:val="16"/>
      <w:szCs w:val="16"/>
    </w:rPr>
  </w:style>
  <w:style w:type="paragraph" w:styleId="Closing">
    <w:name w:val="Closing"/>
    <w:basedOn w:val="Normal"/>
    <w:semiHidden/>
    <w:qFormat/>
    <w:pPr>
      <w:ind w:left="4320"/>
    </w:pPr>
    <w:rPr>
      <w:rFonts w:ascii="Arial" w:eastAsia="Batang" w:hAnsi="Arial" w:cs="Arial"/>
      <w:bCs/>
    </w:rPr>
  </w:style>
  <w:style w:type="paragraph" w:styleId="CommentText">
    <w:name w:val="annotation text"/>
    <w:basedOn w:val="Normal"/>
    <w:link w:val="CommentTextChar"/>
    <w:uiPriority w:val="99"/>
    <w:semiHidden/>
    <w:qFormat/>
    <w:rPr>
      <w:rFonts w:ascii="Arial" w:eastAsia="Batang" w:hAnsi="Arial" w:cs="Arial"/>
      <w:bCs/>
      <w:sz w:val="20"/>
      <w:szCs w:val="20"/>
    </w:rPr>
  </w:style>
  <w:style w:type="paragraph" w:styleId="Date">
    <w:name w:val="Date"/>
    <w:basedOn w:val="Normal"/>
    <w:next w:val="Normal"/>
    <w:semiHidden/>
    <w:qFormat/>
    <w:rPr>
      <w:rFonts w:ascii="Arial" w:eastAsia="Batang" w:hAnsi="Arial" w:cs="Arial"/>
      <w:bCs/>
    </w:rPr>
  </w:style>
  <w:style w:type="paragraph" w:styleId="E-mailSignature">
    <w:name w:val="E-mail Signature"/>
    <w:basedOn w:val="Normal"/>
    <w:semiHidden/>
    <w:qFormat/>
    <w:rPr>
      <w:rFonts w:ascii="Arial" w:eastAsia="Batang" w:hAnsi="Arial" w:cs="Arial"/>
      <w:bCs/>
    </w:rPr>
  </w:style>
  <w:style w:type="paragraph" w:styleId="EndnoteText">
    <w:name w:val="endnote text"/>
    <w:basedOn w:val="Normal"/>
    <w:semiHidden/>
    <w:rPr>
      <w:rFonts w:ascii="Arial" w:eastAsia="Batang" w:hAnsi="Arial" w:cs="Arial"/>
      <w:bCs/>
      <w:sz w:val="20"/>
      <w:szCs w:val="20"/>
    </w:rPr>
  </w:style>
  <w:style w:type="paragraph" w:styleId="EnvelopeAddress">
    <w:name w:val="envelope address"/>
    <w:basedOn w:val="Normal"/>
    <w:semiHidden/>
    <w:qFormat/>
    <w:pPr>
      <w:ind w:left="2880"/>
    </w:pPr>
    <w:rPr>
      <w:rFonts w:ascii="Arial" w:eastAsia="Batang" w:hAnsi="Arial" w:cs="Arial"/>
      <w:bCs/>
    </w:rPr>
  </w:style>
  <w:style w:type="paragraph" w:styleId="EnvelopeReturn">
    <w:name w:val="envelope return"/>
    <w:basedOn w:val="Normal"/>
    <w:semiHidden/>
    <w:qFormat/>
    <w:rPr>
      <w:rFonts w:ascii="Arial" w:eastAsia="Batang" w:hAnsi="Arial" w:cs="Arial"/>
      <w:bCs/>
      <w:sz w:val="20"/>
      <w:szCs w:val="20"/>
    </w:rPr>
  </w:style>
  <w:style w:type="paragraph" w:styleId="FootnoteText">
    <w:name w:val="footnote text"/>
    <w:basedOn w:val="Normal"/>
    <w:semiHidden/>
    <w:rPr>
      <w:rFonts w:ascii="Arial" w:eastAsia="Batang" w:hAnsi="Arial" w:cs="Arial"/>
      <w:bCs/>
      <w:sz w:val="20"/>
      <w:szCs w:val="20"/>
    </w:rPr>
  </w:style>
  <w:style w:type="paragraph" w:styleId="HTMLAddress">
    <w:name w:val="HTML Address"/>
    <w:basedOn w:val="Normal"/>
    <w:semiHidden/>
    <w:qFormat/>
    <w:rPr>
      <w:rFonts w:ascii="Arial" w:eastAsia="Batang" w:hAnsi="Arial" w:cs="Arial"/>
      <w:bCs/>
      <w:i/>
      <w:iCs/>
    </w:rPr>
  </w:style>
  <w:style w:type="paragraph" w:styleId="HTMLPreformatted">
    <w:name w:val="HTML Preformatted"/>
    <w:basedOn w:val="Normal"/>
    <w:semiHidden/>
    <w:qFormat/>
    <w:rPr>
      <w:rFonts w:ascii="Courier New" w:eastAsia="Batang" w:hAnsi="Courier New" w:cs="Courier New"/>
      <w:bCs/>
      <w:sz w:val="20"/>
      <w:szCs w:val="20"/>
    </w:rPr>
  </w:style>
  <w:style w:type="paragraph" w:styleId="Index1">
    <w:name w:val="index 1"/>
    <w:basedOn w:val="Normal"/>
    <w:next w:val="Normal"/>
    <w:autoRedefine/>
    <w:semiHidden/>
    <w:qFormat/>
    <w:pPr>
      <w:ind w:left="240" w:hanging="240"/>
    </w:pPr>
    <w:rPr>
      <w:rFonts w:ascii="Arial" w:eastAsia="Batang" w:hAnsi="Arial" w:cs="Arial"/>
      <w:bCs/>
    </w:rPr>
  </w:style>
  <w:style w:type="paragraph" w:styleId="Index2">
    <w:name w:val="index 2"/>
    <w:basedOn w:val="Normal"/>
    <w:next w:val="Normal"/>
    <w:autoRedefine/>
    <w:semiHidden/>
    <w:qFormat/>
    <w:pPr>
      <w:ind w:left="480" w:hanging="240"/>
    </w:pPr>
    <w:rPr>
      <w:rFonts w:ascii="Arial" w:eastAsia="Batang" w:hAnsi="Arial" w:cs="Arial"/>
      <w:bCs/>
    </w:rPr>
  </w:style>
  <w:style w:type="paragraph" w:styleId="Index3">
    <w:name w:val="index 3"/>
    <w:basedOn w:val="Normal"/>
    <w:next w:val="Normal"/>
    <w:autoRedefine/>
    <w:semiHidden/>
    <w:qFormat/>
    <w:pPr>
      <w:ind w:left="720" w:hanging="240"/>
    </w:pPr>
    <w:rPr>
      <w:rFonts w:ascii="Arial" w:eastAsia="Batang" w:hAnsi="Arial" w:cs="Arial"/>
      <w:bCs/>
    </w:rPr>
  </w:style>
  <w:style w:type="paragraph" w:styleId="Index4">
    <w:name w:val="index 4"/>
    <w:basedOn w:val="Normal"/>
    <w:next w:val="Normal"/>
    <w:autoRedefine/>
    <w:semiHidden/>
    <w:qFormat/>
    <w:pPr>
      <w:ind w:left="960" w:hanging="240"/>
    </w:pPr>
    <w:rPr>
      <w:rFonts w:ascii="Arial" w:eastAsia="Batang" w:hAnsi="Arial" w:cs="Arial"/>
      <w:bCs/>
    </w:rPr>
  </w:style>
  <w:style w:type="paragraph" w:styleId="Index5">
    <w:name w:val="index 5"/>
    <w:basedOn w:val="Normal"/>
    <w:next w:val="Normal"/>
    <w:autoRedefine/>
    <w:semiHidden/>
    <w:qFormat/>
    <w:pPr>
      <w:ind w:left="1200" w:hanging="240"/>
    </w:pPr>
    <w:rPr>
      <w:rFonts w:ascii="Arial" w:eastAsia="Batang" w:hAnsi="Arial" w:cs="Arial"/>
      <w:bCs/>
    </w:rPr>
  </w:style>
  <w:style w:type="paragraph" w:styleId="Index6">
    <w:name w:val="index 6"/>
    <w:basedOn w:val="Normal"/>
    <w:next w:val="Normal"/>
    <w:autoRedefine/>
    <w:semiHidden/>
    <w:qFormat/>
    <w:pPr>
      <w:ind w:left="1440" w:hanging="240"/>
    </w:pPr>
    <w:rPr>
      <w:rFonts w:ascii="Arial" w:eastAsia="Batang" w:hAnsi="Arial" w:cs="Arial"/>
      <w:bCs/>
    </w:rPr>
  </w:style>
  <w:style w:type="paragraph" w:styleId="Index7">
    <w:name w:val="index 7"/>
    <w:basedOn w:val="Normal"/>
    <w:next w:val="Normal"/>
    <w:autoRedefine/>
    <w:semiHidden/>
    <w:qFormat/>
    <w:pPr>
      <w:ind w:left="1680" w:hanging="240"/>
    </w:pPr>
    <w:rPr>
      <w:rFonts w:ascii="Arial" w:eastAsia="Batang" w:hAnsi="Arial" w:cs="Arial"/>
      <w:bCs/>
    </w:rPr>
  </w:style>
  <w:style w:type="paragraph" w:styleId="Index8">
    <w:name w:val="index 8"/>
    <w:basedOn w:val="Normal"/>
    <w:next w:val="Normal"/>
    <w:autoRedefine/>
    <w:semiHidden/>
    <w:qFormat/>
    <w:pPr>
      <w:ind w:left="1920" w:hanging="240"/>
    </w:pPr>
    <w:rPr>
      <w:rFonts w:ascii="Arial" w:eastAsia="Batang" w:hAnsi="Arial" w:cs="Arial"/>
      <w:bCs/>
    </w:rPr>
  </w:style>
  <w:style w:type="paragraph" w:styleId="Index9">
    <w:name w:val="index 9"/>
    <w:basedOn w:val="Normal"/>
    <w:next w:val="Normal"/>
    <w:autoRedefine/>
    <w:semiHidden/>
    <w:qFormat/>
    <w:pPr>
      <w:ind w:left="2160" w:hanging="240"/>
    </w:pPr>
    <w:rPr>
      <w:rFonts w:ascii="Arial" w:eastAsia="Batang" w:hAnsi="Arial" w:cs="Arial"/>
      <w:bCs/>
    </w:rPr>
  </w:style>
  <w:style w:type="paragraph" w:styleId="IndexHeading">
    <w:name w:val="index heading"/>
    <w:basedOn w:val="Normal"/>
    <w:next w:val="Index1"/>
    <w:semiHidden/>
    <w:qFormat/>
    <w:rPr>
      <w:rFonts w:ascii="Arial" w:eastAsia="Batang" w:hAnsi="Arial" w:cs="Arial"/>
      <w:b/>
      <w:bCs/>
    </w:rPr>
  </w:style>
  <w:style w:type="paragraph" w:styleId="ListBullet3">
    <w:name w:val="List Bullet 3"/>
    <w:basedOn w:val="Normal"/>
    <w:autoRedefine/>
    <w:semiHidden/>
    <w:qFormat/>
    <w:rPr>
      <w:rFonts w:ascii="Arial" w:eastAsia="Batang" w:hAnsi="Arial" w:cs="Arial"/>
      <w:bCs/>
    </w:rPr>
  </w:style>
  <w:style w:type="paragraph" w:styleId="ListBullet4">
    <w:name w:val="List Bullet 4"/>
    <w:basedOn w:val="Normal"/>
    <w:autoRedefine/>
    <w:semiHidden/>
    <w:qFormat/>
    <w:rPr>
      <w:rFonts w:ascii="Arial" w:eastAsia="Batang" w:hAnsi="Arial" w:cs="Arial"/>
      <w:bCs/>
    </w:rPr>
  </w:style>
  <w:style w:type="paragraph" w:styleId="ListBullet5">
    <w:name w:val="List Bullet 5"/>
    <w:basedOn w:val="Normal"/>
    <w:autoRedefine/>
    <w:semiHidden/>
    <w:qFormat/>
    <w:rPr>
      <w:rFonts w:ascii="Arial" w:eastAsia="Batang" w:hAnsi="Arial" w:cs="Arial"/>
      <w:bCs/>
    </w:rPr>
  </w:style>
  <w:style w:type="paragraph" w:styleId="ListNumber">
    <w:name w:val="List Number"/>
    <w:basedOn w:val="Normal"/>
    <w:semiHidden/>
    <w:qFormat/>
    <w:rPr>
      <w:rFonts w:ascii="Arial" w:eastAsia="Batang" w:hAnsi="Arial" w:cs="Arial"/>
      <w:bCs/>
    </w:rPr>
  </w:style>
  <w:style w:type="paragraph" w:styleId="ListBullet">
    <w:name w:val="List Bullet"/>
    <w:basedOn w:val="Normal"/>
    <w:autoRedefine/>
    <w:semiHidden/>
    <w:qFormat/>
    <w:rPr>
      <w:rFonts w:ascii="Arial" w:eastAsia="Batang" w:hAnsi="Arial" w:cs="Arial"/>
      <w:bCs/>
    </w:rPr>
  </w:style>
  <w:style w:type="paragraph" w:styleId="ListBullet2">
    <w:name w:val="List Bullet 2"/>
    <w:basedOn w:val="Normal"/>
    <w:autoRedefine/>
    <w:semiHidden/>
    <w:qFormat/>
    <w:rPr>
      <w:rFonts w:ascii="Arial" w:eastAsia="Batang" w:hAnsi="Arial" w:cs="Arial"/>
      <w:bCs/>
    </w:rPr>
  </w:style>
  <w:style w:type="paragraph" w:styleId="ListContinue">
    <w:name w:val="List Continue"/>
    <w:basedOn w:val="Normal"/>
    <w:semiHidden/>
    <w:qFormat/>
    <w:pPr>
      <w:spacing w:after="120"/>
      <w:ind w:left="360"/>
    </w:pPr>
    <w:rPr>
      <w:rFonts w:ascii="Arial" w:eastAsia="Batang" w:hAnsi="Arial" w:cs="Arial"/>
      <w:bCs/>
    </w:rPr>
  </w:style>
  <w:style w:type="paragraph" w:styleId="ListContinue2">
    <w:name w:val="List Continue 2"/>
    <w:basedOn w:val="Normal"/>
    <w:semiHidden/>
    <w:qFormat/>
    <w:pPr>
      <w:spacing w:after="120"/>
      <w:ind w:left="720"/>
    </w:pPr>
    <w:rPr>
      <w:rFonts w:ascii="Arial" w:eastAsia="Batang" w:hAnsi="Arial" w:cs="Arial"/>
      <w:bCs/>
    </w:rPr>
  </w:style>
  <w:style w:type="paragraph" w:styleId="ListContinue3">
    <w:name w:val="List Continue 3"/>
    <w:basedOn w:val="Normal"/>
    <w:semiHidden/>
    <w:qFormat/>
    <w:pPr>
      <w:spacing w:after="120"/>
      <w:ind w:left="1080"/>
    </w:pPr>
    <w:rPr>
      <w:rFonts w:ascii="Arial" w:eastAsia="Batang" w:hAnsi="Arial" w:cs="Arial"/>
      <w:bCs/>
    </w:rPr>
  </w:style>
  <w:style w:type="paragraph" w:styleId="ListContinue4">
    <w:name w:val="List Continue 4"/>
    <w:basedOn w:val="Normal"/>
    <w:semiHidden/>
    <w:qFormat/>
    <w:pPr>
      <w:spacing w:after="120"/>
      <w:ind w:left="1440"/>
    </w:pPr>
    <w:rPr>
      <w:rFonts w:ascii="Arial" w:eastAsia="Batang" w:hAnsi="Arial" w:cs="Arial"/>
      <w:bCs/>
    </w:rPr>
  </w:style>
  <w:style w:type="paragraph" w:styleId="ListContinue5">
    <w:name w:val="List Continue 5"/>
    <w:basedOn w:val="Normal"/>
    <w:semiHidden/>
    <w:qFormat/>
    <w:pPr>
      <w:spacing w:after="120"/>
      <w:ind w:left="1800"/>
    </w:pPr>
    <w:rPr>
      <w:rFonts w:ascii="Arial" w:eastAsia="Batang" w:hAnsi="Arial" w:cs="Arial"/>
      <w:bCs/>
    </w:rPr>
  </w:style>
  <w:style w:type="paragraph" w:styleId="ListNumber2">
    <w:name w:val="List Number 2"/>
    <w:basedOn w:val="Normal"/>
    <w:semiHidden/>
    <w:qFormat/>
    <w:rPr>
      <w:rFonts w:ascii="Arial" w:eastAsia="Batang" w:hAnsi="Arial" w:cs="Arial"/>
      <w:bCs/>
    </w:rPr>
  </w:style>
  <w:style w:type="paragraph" w:styleId="ListNumber3">
    <w:name w:val="List Number 3"/>
    <w:basedOn w:val="Normal"/>
    <w:semiHidden/>
    <w:qFormat/>
    <w:rPr>
      <w:rFonts w:ascii="Arial" w:eastAsia="Batang" w:hAnsi="Arial" w:cs="Arial"/>
      <w:bCs/>
    </w:rPr>
  </w:style>
  <w:style w:type="paragraph" w:styleId="ListNumber4">
    <w:name w:val="List Number 4"/>
    <w:basedOn w:val="Normal"/>
    <w:semiHidden/>
    <w:qFormat/>
    <w:rPr>
      <w:rFonts w:ascii="Arial" w:eastAsia="Batang" w:hAnsi="Arial" w:cs="Arial"/>
      <w:bCs/>
    </w:rPr>
  </w:style>
  <w:style w:type="paragraph" w:styleId="ListNumber5">
    <w:name w:val="List Number 5"/>
    <w:basedOn w:val="Normal"/>
    <w:semiHidden/>
    <w:qFormat/>
    <w:rPr>
      <w:rFonts w:ascii="Arial" w:eastAsia="Batang" w:hAnsi="Arial" w:cs="Arial"/>
      <w:bCs/>
    </w:rPr>
  </w:style>
  <w:style w:type="paragraph" w:styleId="MacroText">
    <w:name w:val="macro"/>
    <w:semiHidden/>
    <w:qFormat/>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bCs/>
      <w:sz w:val="24"/>
    </w:rPr>
  </w:style>
  <w:style w:type="paragraph" w:styleId="MessageHeader">
    <w:name w:val="Message Header"/>
    <w:basedOn w:val="Normal"/>
    <w:semiHidden/>
    <w:qFormat/>
    <w:pPr>
      <w:pBdr>
        <w:top w:val="single" w:sz="6" w:space="1" w:color="000000"/>
        <w:left w:val="single" w:sz="6" w:space="1" w:color="000000"/>
        <w:bottom w:val="single" w:sz="6" w:space="1" w:color="000000"/>
        <w:right w:val="single" w:sz="6" w:space="1" w:color="000000"/>
      </w:pBdr>
      <w:shd w:val="pct20" w:color="auto" w:fill="auto"/>
      <w:ind w:left="1080" w:hanging="1080"/>
    </w:pPr>
    <w:rPr>
      <w:rFonts w:ascii="Arial" w:eastAsia="Batang" w:hAnsi="Arial" w:cs="Arial"/>
      <w:bCs/>
    </w:rPr>
  </w:style>
  <w:style w:type="paragraph" w:styleId="NormalIndent">
    <w:name w:val="Normal Indent"/>
    <w:basedOn w:val="Normal"/>
    <w:semiHidden/>
    <w:qFormat/>
    <w:pPr>
      <w:ind w:left="720"/>
    </w:pPr>
    <w:rPr>
      <w:rFonts w:ascii="Arial" w:eastAsia="Batang" w:hAnsi="Arial" w:cs="Arial"/>
      <w:bCs/>
    </w:rPr>
  </w:style>
  <w:style w:type="paragraph" w:styleId="NoteHeading">
    <w:name w:val="Note Heading"/>
    <w:basedOn w:val="Normal"/>
    <w:next w:val="Normal"/>
    <w:semiHidden/>
    <w:qFormat/>
    <w:rPr>
      <w:rFonts w:ascii="Arial" w:eastAsia="Batang" w:hAnsi="Arial" w:cs="Arial"/>
      <w:bCs/>
    </w:rPr>
  </w:style>
  <w:style w:type="paragraph" w:styleId="Salutation">
    <w:name w:val="Salutation"/>
    <w:basedOn w:val="Normal"/>
    <w:next w:val="Normal"/>
    <w:semiHidden/>
    <w:rPr>
      <w:rFonts w:ascii="Arial" w:eastAsia="Batang" w:hAnsi="Arial" w:cs="Arial"/>
      <w:bCs/>
    </w:rPr>
  </w:style>
  <w:style w:type="paragraph" w:styleId="Signature">
    <w:name w:val="Signature"/>
    <w:basedOn w:val="Normal"/>
    <w:semiHidden/>
    <w:pPr>
      <w:ind w:left="4320"/>
    </w:pPr>
    <w:rPr>
      <w:rFonts w:ascii="Arial" w:eastAsia="Batang" w:hAnsi="Arial" w:cs="Arial"/>
      <w:bCs/>
    </w:rPr>
  </w:style>
  <w:style w:type="paragraph" w:styleId="Subtitle">
    <w:name w:val="Subtitle"/>
    <w:basedOn w:val="Normal"/>
    <w:qFormat/>
    <w:pPr>
      <w:spacing w:after="60"/>
      <w:jc w:val="center"/>
      <w:outlineLvl w:val="1"/>
    </w:pPr>
    <w:rPr>
      <w:rFonts w:ascii="Arial" w:eastAsia="Batang" w:hAnsi="Arial" w:cs="Arial"/>
      <w:bCs/>
    </w:rPr>
  </w:style>
  <w:style w:type="paragraph" w:styleId="TableofAuthorities">
    <w:name w:val="table of authorities"/>
    <w:basedOn w:val="Normal"/>
    <w:next w:val="Normal"/>
    <w:semiHidden/>
    <w:qFormat/>
    <w:pPr>
      <w:ind w:left="240" w:hanging="240"/>
    </w:pPr>
    <w:rPr>
      <w:rFonts w:ascii="Arial" w:eastAsia="Batang" w:hAnsi="Arial" w:cs="Arial"/>
      <w:bCs/>
    </w:rPr>
  </w:style>
  <w:style w:type="paragraph" w:styleId="TableofFigures">
    <w:name w:val="table of figures"/>
    <w:basedOn w:val="Normal"/>
    <w:next w:val="Normal"/>
    <w:semiHidden/>
    <w:qFormat/>
    <w:pPr>
      <w:ind w:left="480" w:hanging="480"/>
    </w:pPr>
    <w:rPr>
      <w:rFonts w:ascii="Arial" w:eastAsia="Batang" w:hAnsi="Arial" w:cs="Arial"/>
      <w:bCs/>
    </w:rPr>
  </w:style>
  <w:style w:type="paragraph" w:styleId="Title">
    <w:name w:val="Title"/>
    <w:basedOn w:val="Normal"/>
    <w:qFormat/>
    <w:pPr>
      <w:spacing w:before="240" w:after="60"/>
      <w:jc w:val="center"/>
      <w:outlineLvl w:val="0"/>
    </w:pPr>
    <w:rPr>
      <w:rFonts w:ascii="Arial" w:eastAsia="Batang" w:hAnsi="Arial" w:cs="Arial"/>
      <w:b/>
      <w:bCs/>
      <w:kern w:val="2"/>
      <w:sz w:val="32"/>
      <w:szCs w:val="32"/>
    </w:rPr>
  </w:style>
  <w:style w:type="paragraph" w:styleId="TOAHeading">
    <w:name w:val="toa heading"/>
    <w:basedOn w:val="Normal"/>
    <w:next w:val="Normal"/>
    <w:semiHidden/>
    <w:qFormat/>
    <w:pPr>
      <w:spacing w:before="120"/>
    </w:pPr>
    <w:rPr>
      <w:rFonts w:ascii="Arial" w:eastAsia="Batang" w:hAnsi="Arial" w:cs="Arial"/>
      <w:b/>
      <w:bCs/>
    </w:rPr>
  </w:style>
  <w:style w:type="paragraph" w:styleId="TOC1">
    <w:name w:val="toc 1"/>
    <w:basedOn w:val="Normal"/>
    <w:next w:val="Normal"/>
    <w:autoRedefine/>
    <w:uiPriority w:val="39"/>
    <w:rsid w:val="004720B6"/>
    <w:pPr>
      <w:tabs>
        <w:tab w:val="right" w:leader="dot" w:pos="9350"/>
      </w:tabs>
      <w:spacing w:before="120"/>
    </w:pPr>
    <w:rPr>
      <w:rFonts w:asciiTheme="minorHAnsi" w:eastAsia="Batang" w:hAnsiTheme="minorHAnsi" w:cs="Arial"/>
      <w:b/>
      <w:bCs/>
      <w:i/>
      <w:iCs/>
    </w:rPr>
  </w:style>
  <w:style w:type="paragraph" w:styleId="TOC2">
    <w:name w:val="toc 2"/>
    <w:basedOn w:val="Normal"/>
    <w:next w:val="Normal"/>
    <w:autoRedefine/>
    <w:uiPriority w:val="39"/>
    <w:pPr>
      <w:spacing w:before="120"/>
      <w:ind w:left="240"/>
    </w:pPr>
    <w:rPr>
      <w:rFonts w:asciiTheme="minorHAnsi" w:eastAsia="Batang" w:hAnsiTheme="minorHAnsi" w:cs="Arial"/>
      <w:b/>
      <w:bCs/>
      <w:sz w:val="22"/>
      <w:szCs w:val="22"/>
    </w:rPr>
  </w:style>
  <w:style w:type="paragraph" w:styleId="TOC3">
    <w:name w:val="toc 3"/>
    <w:basedOn w:val="Normal"/>
    <w:next w:val="Normal"/>
    <w:autoRedefine/>
    <w:uiPriority w:val="39"/>
    <w:pPr>
      <w:ind w:left="480"/>
    </w:pPr>
    <w:rPr>
      <w:rFonts w:asciiTheme="minorHAnsi" w:eastAsia="Batang" w:hAnsiTheme="minorHAnsi" w:cs="Arial"/>
      <w:sz w:val="20"/>
      <w:szCs w:val="20"/>
    </w:rPr>
  </w:style>
  <w:style w:type="paragraph" w:styleId="TOC4">
    <w:name w:val="toc 4"/>
    <w:basedOn w:val="Normal"/>
    <w:next w:val="Normal"/>
    <w:autoRedefine/>
    <w:semiHidden/>
    <w:pPr>
      <w:ind w:left="720"/>
    </w:pPr>
    <w:rPr>
      <w:rFonts w:asciiTheme="minorHAnsi" w:eastAsia="Batang" w:hAnsiTheme="minorHAnsi" w:cs="Arial"/>
      <w:sz w:val="20"/>
      <w:szCs w:val="20"/>
    </w:rPr>
  </w:style>
  <w:style w:type="paragraph" w:styleId="TOC5">
    <w:name w:val="toc 5"/>
    <w:basedOn w:val="Normal"/>
    <w:next w:val="Normal"/>
    <w:autoRedefine/>
    <w:semiHidden/>
    <w:pPr>
      <w:ind w:left="960"/>
    </w:pPr>
    <w:rPr>
      <w:rFonts w:asciiTheme="minorHAnsi" w:eastAsia="Batang" w:hAnsiTheme="minorHAnsi" w:cs="Arial"/>
      <w:sz w:val="20"/>
      <w:szCs w:val="20"/>
    </w:rPr>
  </w:style>
  <w:style w:type="paragraph" w:styleId="TOC6">
    <w:name w:val="toc 6"/>
    <w:basedOn w:val="Normal"/>
    <w:next w:val="Normal"/>
    <w:autoRedefine/>
    <w:semiHidden/>
    <w:pPr>
      <w:ind w:left="1200"/>
    </w:pPr>
    <w:rPr>
      <w:rFonts w:asciiTheme="minorHAnsi" w:eastAsia="Batang" w:hAnsiTheme="minorHAnsi" w:cs="Arial"/>
      <w:sz w:val="20"/>
      <w:szCs w:val="20"/>
    </w:rPr>
  </w:style>
  <w:style w:type="paragraph" w:styleId="TOC7">
    <w:name w:val="toc 7"/>
    <w:basedOn w:val="Normal"/>
    <w:next w:val="Normal"/>
    <w:autoRedefine/>
    <w:semiHidden/>
    <w:pPr>
      <w:ind w:left="1440"/>
    </w:pPr>
    <w:rPr>
      <w:rFonts w:asciiTheme="minorHAnsi" w:eastAsia="Batang" w:hAnsiTheme="minorHAnsi" w:cs="Arial"/>
      <w:sz w:val="20"/>
      <w:szCs w:val="20"/>
    </w:rPr>
  </w:style>
  <w:style w:type="paragraph" w:styleId="TOC8">
    <w:name w:val="toc 8"/>
    <w:basedOn w:val="Normal"/>
    <w:next w:val="Normal"/>
    <w:autoRedefine/>
    <w:semiHidden/>
    <w:pPr>
      <w:ind w:left="1680"/>
    </w:pPr>
    <w:rPr>
      <w:rFonts w:asciiTheme="minorHAnsi" w:eastAsia="Batang" w:hAnsiTheme="minorHAnsi" w:cs="Arial"/>
      <w:sz w:val="20"/>
      <w:szCs w:val="20"/>
    </w:rPr>
  </w:style>
  <w:style w:type="paragraph" w:styleId="TOC9">
    <w:name w:val="toc 9"/>
    <w:basedOn w:val="Normal"/>
    <w:next w:val="Normal"/>
    <w:autoRedefine/>
    <w:semiHidden/>
    <w:pPr>
      <w:ind w:left="1920"/>
    </w:pPr>
    <w:rPr>
      <w:rFonts w:asciiTheme="minorHAnsi" w:eastAsia="Batang" w:hAnsiTheme="minorHAnsi" w:cs="Arial"/>
      <w:sz w:val="20"/>
      <w:szCs w:val="20"/>
    </w:rPr>
  </w:style>
  <w:style w:type="paragraph" w:customStyle="1" w:styleId="Default">
    <w:name w:val="Default"/>
    <w:qFormat/>
    <w:pPr>
      <w:widowControl w:val="0"/>
    </w:pPr>
    <w:rPr>
      <w:color w:val="000000"/>
      <w:sz w:val="24"/>
      <w:szCs w:val="24"/>
    </w:rPr>
  </w:style>
  <w:style w:type="paragraph" w:styleId="BalloonText">
    <w:name w:val="Balloon Text"/>
    <w:basedOn w:val="Normal"/>
    <w:link w:val="BalloonTextChar"/>
    <w:uiPriority w:val="99"/>
    <w:semiHidden/>
    <w:unhideWhenUsed/>
    <w:qFormat/>
    <w:rsid w:val="00743651"/>
    <w:rPr>
      <w:rFonts w:ascii="Tahoma" w:eastAsia="Batang" w:hAnsi="Tahoma" w:cs="Tahoma"/>
      <w:bCs/>
      <w:sz w:val="16"/>
      <w:szCs w:val="16"/>
    </w:rPr>
  </w:style>
  <w:style w:type="paragraph" w:styleId="CommentSubject">
    <w:name w:val="annotation subject"/>
    <w:basedOn w:val="CommentText"/>
    <w:next w:val="CommentText"/>
    <w:link w:val="CommentSubjectChar"/>
    <w:uiPriority w:val="99"/>
    <w:semiHidden/>
    <w:unhideWhenUsed/>
    <w:qFormat/>
    <w:rsid w:val="0049235B"/>
    <w:rPr>
      <w:b/>
    </w:rPr>
  </w:style>
  <w:style w:type="paragraph" w:styleId="Revision">
    <w:name w:val="Revision"/>
    <w:uiPriority w:val="71"/>
    <w:qFormat/>
    <w:rsid w:val="00C73402"/>
    <w:rPr>
      <w:rFonts w:ascii="Arial" w:hAnsi="Arial" w:cs="Arial"/>
      <w:bCs/>
      <w:sz w:val="24"/>
      <w:szCs w:val="24"/>
    </w:rPr>
  </w:style>
  <w:style w:type="paragraph" w:styleId="ListParagraph">
    <w:name w:val="List Paragraph"/>
    <w:basedOn w:val="Normal"/>
    <w:uiPriority w:val="1"/>
    <w:qFormat/>
    <w:rsid w:val="001528CD"/>
    <w:pPr>
      <w:ind w:left="720"/>
      <w:contextualSpacing/>
    </w:pPr>
    <w:rPr>
      <w:rFonts w:ascii="Arial" w:eastAsia="Batang" w:hAnsi="Arial" w:cs="Arial"/>
      <w:bCs/>
    </w:rPr>
  </w:style>
  <w:style w:type="paragraph" w:styleId="TOCHeading">
    <w:name w:val="TOC Heading"/>
    <w:basedOn w:val="Heading1"/>
    <w:next w:val="Normal"/>
    <w:uiPriority w:val="39"/>
    <w:unhideWhenUsed/>
    <w:qFormat/>
    <w:rsid w:val="004A65C7"/>
    <w:pPr>
      <w:keepLines/>
      <w:spacing w:before="480" w:line="276" w:lineRule="auto"/>
    </w:pPr>
    <w:rPr>
      <w:rFonts w:asciiTheme="majorHAnsi" w:eastAsiaTheme="majorEastAsia" w:hAnsiTheme="majorHAnsi" w:cstheme="majorBidi"/>
      <w:color w:val="365F91" w:themeColor="accent1" w:themeShade="BF"/>
      <w:sz w:val="28"/>
      <w:szCs w:val="28"/>
    </w:rPr>
  </w:style>
  <w:style w:type="paragraph" w:customStyle="1" w:styleId="FrameContents">
    <w:name w:val="Frame Contents"/>
    <w:basedOn w:val="Normal"/>
    <w:qFormat/>
  </w:style>
  <w:style w:type="table" w:styleId="MediumGrid1-Accent5">
    <w:name w:val="Medium Grid 1 Accent 5"/>
    <w:basedOn w:val="TableNormal"/>
    <w:uiPriority w:val="62"/>
    <w:rsid w:val="000742F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idTable6Colorful">
    <w:name w:val="Grid Table 6 Colorful"/>
    <w:basedOn w:val="TableNormal"/>
    <w:uiPriority w:val="51"/>
    <w:rsid w:val="00B607B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59"/>
    <w:rsid w:val="00B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D9082A"/>
  </w:style>
  <w:style w:type="character" w:customStyle="1" w:styleId="apple-converted-space">
    <w:name w:val="apple-converted-space"/>
    <w:basedOn w:val="DefaultParagraphFont"/>
    <w:rsid w:val="00A86E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6331481">
      <w:bodyDiv w:val="1"/>
      <w:marLeft w:val="0"/>
      <w:marRight w:val="0"/>
      <w:marTop w:val="0"/>
      <w:marBottom w:val="0"/>
      <w:divBdr>
        <w:top w:val="none" w:sz="0" w:space="0" w:color="auto"/>
        <w:left w:val="none" w:sz="0" w:space="0" w:color="auto"/>
        <w:bottom w:val="none" w:sz="0" w:space="0" w:color="auto"/>
        <w:right w:val="none" w:sz="0" w:space="0" w:color="auto"/>
      </w:divBdr>
    </w:div>
    <w:div w:id="754479536">
      <w:bodyDiv w:val="1"/>
      <w:marLeft w:val="0"/>
      <w:marRight w:val="0"/>
      <w:marTop w:val="0"/>
      <w:marBottom w:val="0"/>
      <w:divBdr>
        <w:top w:val="none" w:sz="0" w:space="0" w:color="auto"/>
        <w:left w:val="none" w:sz="0" w:space="0" w:color="auto"/>
        <w:bottom w:val="none" w:sz="0" w:space="0" w:color="auto"/>
        <w:right w:val="none" w:sz="0" w:space="0" w:color="auto"/>
      </w:divBdr>
    </w:div>
    <w:div w:id="1006714449">
      <w:bodyDiv w:val="1"/>
      <w:marLeft w:val="0"/>
      <w:marRight w:val="0"/>
      <w:marTop w:val="0"/>
      <w:marBottom w:val="0"/>
      <w:divBdr>
        <w:top w:val="none" w:sz="0" w:space="0" w:color="auto"/>
        <w:left w:val="none" w:sz="0" w:space="0" w:color="auto"/>
        <w:bottom w:val="none" w:sz="0" w:space="0" w:color="auto"/>
        <w:right w:val="none" w:sz="0" w:space="0" w:color="auto"/>
      </w:divBdr>
      <w:divsChild>
        <w:div w:id="1680624226">
          <w:marLeft w:val="0"/>
          <w:marRight w:val="0"/>
          <w:marTop w:val="0"/>
          <w:marBottom w:val="0"/>
          <w:divBdr>
            <w:top w:val="none" w:sz="0" w:space="0" w:color="auto"/>
            <w:left w:val="none" w:sz="0" w:space="0" w:color="auto"/>
            <w:bottom w:val="none" w:sz="0" w:space="0" w:color="auto"/>
            <w:right w:val="none" w:sz="0" w:space="0" w:color="auto"/>
          </w:divBdr>
        </w:div>
        <w:div w:id="596139803">
          <w:marLeft w:val="0"/>
          <w:marRight w:val="0"/>
          <w:marTop w:val="0"/>
          <w:marBottom w:val="0"/>
          <w:divBdr>
            <w:top w:val="none" w:sz="0" w:space="0" w:color="auto"/>
            <w:left w:val="none" w:sz="0" w:space="0" w:color="auto"/>
            <w:bottom w:val="none" w:sz="0" w:space="0" w:color="auto"/>
            <w:right w:val="none" w:sz="0" w:space="0" w:color="auto"/>
          </w:divBdr>
        </w:div>
      </w:divsChild>
    </w:div>
    <w:div w:id="1585065983">
      <w:bodyDiv w:val="1"/>
      <w:marLeft w:val="0"/>
      <w:marRight w:val="0"/>
      <w:marTop w:val="0"/>
      <w:marBottom w:val="0"/>
      <w:divBdr>
        <w:top w:val="none" w:sz="0" w:space="0" w:color="auto"/>
        <w:left w:val="none" w:sz="0" w:space="0" w:color="auto"/>
        <w:bottom w:val="none" w:sz="0" w:space="0" w:color="auto"/>
        <w:right w:val="none" w:sz="0" w:space="0" w:color="auto"/>
      </w:divBdr>
      <w:divsChild>
        <w:div w:id="2140144119">
          <w:marLeft w:val="0"/>
          <w:marRight w:val="0"/>
          <w:marTop w:val="0"/>
          <w:marBottom w:val="0"/>
          <w:divBdr>
            <w:top w:val="none" w:sz="0" w:space="0" w:color="auto"/>
            <w:left w:val="none" w:sz="0" w:space="0" w:color="auto"/>
            <w:bottom w:val="none" w:sz="0" w:space="0" w:color="auto"/>
            <w:right w:val="none" w:sz="0" w:space="0" w:color="auto"/>
          </w:divBdr>
        </w:div>
        <w:div w:id="1452094997">
          <w:marLeft w:val="0"/>
          <w:marRight w:val="0"/>
          <w:marTop w:val="0"/>
          <w:marBottom w:val="0"/>
          <w:divBdr>
            <w:top w:val="none" w:sz="0" w:space="0" w:color="auto"/>
            <w:left w:val="none" w:sz="0" w:space="0" w:color="auto"/>
            <w:bottom w:val="none" w:sz="0" w:space="0" w:color="auto"/>
            <w:right w:val="none" w:sz="0" w:space="0" w:color="auto"/>
          </w:divBdr>
        </w:div>
        <w:div w:id="1674258758">
          <w:marLeft w:val="0"/>
          <w:marRight w:val="0"/>
          <w:marTop w:val="0"/>
          <w:marBottom w:val="0"/>
          <w:divBdr>
            <w:top w:val="none" w:sz="0" w:space="0" w:color="auto"/>
            <w:left w:val="none" w:sz="0" w:space="0" w:color="auto"/>
            <w:bottom w:val="none" w:sz="0" w:space="0" w:color="auto"/>
            <w:right w:val="none" w:sz="0" w:space="0" w:color="auto"/>
          </w:divBdr>
        </w:div>
        <w:div w:id="1753775393">
          <w:marLeft w:val="0"/>
          <w:marRight w:val="0"/>
          <w:marTop w:val="0"/>
          <w:marBottom w:val="0"/>
          <w:divBdr>
            <w:top w:val="none" w:sz="0" w:space="0" w:color="auto"/>
            <w:left w:val="none" w:sz="0" w:space="0" w:color="auto"/>
            <w:bottom w:val="none" w:sz="0" w:space="0" w:color="auto"/>
            <w:right w:val="none" w:sz="0" w:space="0" w:color="auto"/>
          </w:divBdr>
        </w:div>
        <w:div w:id="123155272">
          <w:marLeft w:val="0"/>
          <w:marRight w:val="0"/>
          <w:marTop w:val="0"/>
          <w:marBottom w:val="0"/>
          <w:divBdr>
            <w:top w:val="none" w:sz="0" w:space="0" w:color="auto"/>
            <w:left w:val="none" w:sz="0" w:space="0" w:color="auto"/>
            <w:bottom w:val="none" w:sz="0" w:space="0" w:color="auto"/>
            <w:right w:val="none" w:sz="0" w:space="0" w:color="auto"/>
          </w:divBdr>
        </w:div>
      </w:divsChild>
    </w:div>
    <w:div w:id="1801191932">
      <w:bodyDiv w:val="1"/>
      <w:marLeft w:val="0"/>
      <w:marRight w:val="0"/>
      <w:marTop w:val="0"/>
      <w:marBottom w:val="0"/>
      <w:divBdr>
        <w:top w:val="none" w:sz="0" w:space="0" w:color="auto"/>
        <w:left w:val="none" w:sz="0" w:space="0" w:color="auto"/>
        <w:bottom w:val="none" w:sz="0" w:space="0" w:color="auto"/>
        <w:right w:val="none" w:sz="0" w:space="0" w:color="auto"/>
      </w:divBdr>
      <w:divsChild>
        <w:div w:id="212155796">
          <w:marLeft w:val="0"/>
          <w:marRight w:val="0"/>
          <w:marTop w:val="0"/>
          <w:marBottom w:val="0"/>
          <w:divBdr>
            <w:top w:val="none" w:sz="0" w:space="0" w:color="auto"/>
            <w:left w:val="none" w:sz="0" w:space="0" w:color="auto"/>
            <w:bottom w:val="none" w:sz="0" w:space="0" w:color="auto"/>
            <w:right w:val="none" w:sz="0" w:space="0" w:color="auto"/>
          </w:divBdr>
        </w:div>
        <w:div w:id="2052096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footer" Target="footer3.xml"/><Relationship Id="rId26" Type="http://schemas.openxmlformats.org/officeDocument/2006/relationships/image" Target="media/image13.png"/><Relationship Id="rId39" Type="http://schemas.openxmlformats.org/officeDocument/2006/relationships/hyperlink" Target="https://e4ftl01.cr.usgs.gov/VIIRS/" TargetMode="External"/><Relationship Id="rId21" Type="http://schemas.openxmlformats.org/officeDocument/2006/relationships/image" Target="media/image8.png"/><Relationship Id="rId34" Type="http://schemas.openxmlformats.org/officeDocument/2006/relationships/hyperlink" Target="https://www.hdfeos.org/" TargetMode="External"/><Relationship Id="rId42" Type="http://schemas.openxmlformats.org/officeDocument/2006/relationships/hyperlink" Target="https://doi.org/10.1029/2023JG007457"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hyperlink" Target="https://viirsland.gsfc.nasa.gov/" TargetMode="External"/><Relationship Id="rId37" Type="http://schemas.openxmlformats.org/officeDocument/2006/relationships/hyperlink" Target="https://lpdaac.usgs.gov/" TargetMode="External"/><Relationship Id="rId40" Type="http://schemas.openxmlformats.org/officeDocument/2006/relationships/hyperlink" Target="https://scholarworks.umt.edu/ntsg_pubs/"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lpdaac.usgs.gov/data/get-started-data/collection-overview/missions/s-npp-nasa-viirs-overview/" TargetMode="External"/><Relationship Id="rId10" Type="http://schemas.openxmlformats.org/officeDocument/2006/relationships/footer" Target="footer2.xml"/><Relationship Id="rId19"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www.hdfgroup.org/tag/hdfview-release/" TargetMode="External"/><Relationship Id="rId43"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tif"/><Relationship Id="rId17" Type="http://schemas.openxmlformats.org/officeDocument/2006/relationships/header" Target="header1.xml"/><Relationship Id="rId25" Type="http://schemas.openxmlformats.org/officeDocument/2006/relationships/image" Target="media/image12.png"/><Relationship Id="rId33" Type="http://schemas.openxmlformats.org/officeDocument/2006/relationships/hyperlink" Target="https://viirsland.gsfc.nasa.gov/Products/NASA/GPP_ESDR.html" TargetMode="External"/><Relationship Id="rId38" Type="http://schemas.openxmlformats.org/officeDocument/2006/relationships/hyperlink" Target="https://viirsland.gsfc.nasa.gov/Products/NASA/NASAprod.html" TargetMode="External"/><Relationship Id="rId46" Type="http://schemas.openxmlformats.org/officeDocument/2006/relationships/theme" Target="theme/theme1.xml"/><Relationship Id="rId20" Type="http://schemas.openxmlformats.org/officeDocument/2006/relationships/footer" Target="footer4.xml"/><Relationship Id="rId41" Type="http://schemas.openxmlformats.org/officeDocument/2006/relationships/hyperlink" Target="https://doi.org/10.1029/2023JG00745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64FA47-5D36-B748-A723-102A54B4F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14934</Words>
  <Characters>85124</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User’s Guide</vt:lpstr>
    </vt:vector>
  </TitlesOfParts>
  <Company>Univeristy of Montana</Company>
  <LinksUpToDate>false</LinksUpToDate>
  <CharactersWithSpaces>99859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User’s Guide</dc:title>
  <dc:subject/>
  <dc:creator>Faith Ann Heinsch</dc:creator>
  <dc:description/>
  <cp:lastModifiedBy>Zhao, Maosheng (GSFC-619.0)[SCIENCE SYSTEMS AND APPLICATIONS INC]</cp:lastModifiedBy>
  <cp:revision>3</cp:revision>
  <cp:lastPrinted>2024-10-29T01:12:00Z</cp:lastPrinted>
  <dcterms:created xsi:type="dcterms:W3CDTF">2024-10-29T01:12:00Z</dcterms:created>
  <dcterms:modified xsi:type="dcterms:W3CDTF">2024-10-29T01:12:00Z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Univeristy of Montana</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