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C3115" w14:textId="5AB23796" w:rsidR="00E17245" w:rsidRDefault="00E17245" w:rsidP="00E17245">
      <w:pPr>
        <w:pStyle w:val="Heading1"/>
        <w:spacing w:before="0" w:line="400" w:lineRule="atLeast"/>
        <w:rPr>
          <w:rFonts w:ascii="Arial" w:hAnsi="Arial" w:cs="Arial"/>
          <w:color w:val="323232"/>
          <w:sz w:val="40"/>
          <w:szCs w:val="40"/>
        </w:rPr>
      </w:pPr>
      <w:r>
        <w:rPr>
          <w:rFonts w:ascii="Arial" w:hAnsi="Arial" w:cs="Arial"/>
          <w:color w:val="323232"/>
          <w:sz w:val="40"/>
          <w:szCs w:val="40"/>
        </w:rPr>
        <w:t>ABoVE: Passive Microwave-derived Annual Snowpack Main Melt Onset Date Maps, 1988-2023</w:t>
      </w:r>
    </w:p>
    <w:p w14:paraId="59B13A81" w14:textId="77777777" w:rsidR="00E17245" w:rsidRDefault="00E17245" w:rsidP="009D0D0A">
      <w:pPr>
        <w:spacing w:after="100" w:afterAutospacing="1"/>
        <w:outlineLvl w:val="1"/>
        <w:rPr>
          <w:rFonts w:ascii="Arial" w:eastAsia="Times New Roman" w:hAnsi="Arial" w:cs="Arial"/>
          <w:b/>
          <w:bCs/>
          <w:color w:val="323232"/>
          <w:sz w:val="36"/>
          <w:szCs w:val="36"/>
          <w:lang w:eastAsia="zh-CN"/>
        </w:rPr>
      </w:pPr>
    </w:p>
    <w:p w14:paraId="60C05EEA" w14:textId="18358EBA" w:rsidR="009D0D0A" w:rsidRPr="009D0D0A" w:rsidRDefault="009D0D0A" w:rsidP="009D0D0A">
      <w:pPr>
        <w:spacing w:after="100" w:afterAutospacing="1"/>
        <w:outlineLvl w:val="1"/>
        <w:rPr>
          <w:rFonts w:ascii="Arial" w:eastAsia="Times New Roman" w:hAnsi="Arial" w:cs="Arial"/>
          <w:b/>
          <w:bCs/>
          <w:color w:val="323232"/>
          <w:sz w:val="36"/>
          <w:szCs w:val="36"/>
          <w:lang w:eastAsia="zh-CN"/>
        </w:rPr>
      </w:pPr>
      <w:r w:rsidRPr="009D0D0A">
        <w:rPr>
          <w:rFonts w:ascii="Arial" w:eastAsia="Times New Roman" w:hAnsi="Arial" w:cs="Arial"/>
          <w:b/>
          <w:bCs/>
          <w:color w:val="323232"/>
          <w:sz w:val="36"/>
          <w:szCs w:val="36"/>
          <w:lang w:eastAsia="zh-CN"/>
        </w:rPr>
        <w:t>Summary</w:t>
      </w:r>
    </w:p>
    <w:p w14:paraId="4F063064" w14:textId="15E0EE60" w:rsidR="009D0D0A" w:rsidRPr="009D0D0A" w:rsidRDefault="009D0D0A" w:rsidP="009D0D0A">
      <w:pPr>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This dataset provides the annual date of snowpack seasonal beginning melt (i.e., main melt onset date, MMOD) across northwest Canada; Alaska, U.S.; and parts of far eastern Russia at 6.25 km resolution for the period 1988-20</w:t>
      </w:r>
      <w:r w:rsidR="00E17245">
        <w:rPr>
          <w:rFonts w:ascii="Arial" w:eastAsia="Times New Roman" w:hAnsi="Arial" w:cs="Arial"/>
          <w:color w:val="323232"/>
          <w:sz w:val="20"/>
          <w:szCs w:val="20"/>
          <w:lang w:eastAsia="zh-CN"/>
        </w:rPr>
        <w:t>23</w:t>
      </w:r>
      <w:r w:rsidRPr="009D0D0A">
        <w:rPr>
          <w:rFonts w:ascii="Arial" w:eastAsia="Times New Roman" w:hAnsi="Arial" w:cs="Arial"/>
          <w:color w:val="323232"/>
          <w:sz w:val="20"/>
          <w:szCs w:val="20"/>
          <w:lang w:eastAsia="zh-CN"/>
        </w:rPr>
        <w:t>. MMOD was derived from the daily 19V (K-band) and 37V (Ka-band) GHz bands from the Making Earth Science Data Records for Use in Research Environments (</w:t>
      </w:r>
      <w:proofErr w:type="spellStart"/>
      <w:r w:rsidRPr="009D0D0A">
        <w:rPr>
          <w:rFonts w:ascii="Arial" w:eastAsia="Times New Roman" w:hAnsi="Arial" w:cs="Arial"/>
          <w:color w:val="323232"/>
          <w:sz w:val="20"/>
          <w:szCs w:val="20"/>
          <w:lang w:eastAsia="zh-CN"/>
        </w:rPr>
        <w:t>MEaSUREs</w:t>
      </w:r>
      <w:proofErr w:type="spellEnd"/>
      <w:r w:rsidRPr="009D0D0A">
        <w:rPr>
          <w:rFonts w:ascii="Arial" w:eastAsia="Times New Roman" w:hAnsi="Arial" w:cs="Arial"/>
          <w:color w:val="323232"/>
          <w:sz w:val="20"/>
          <w:szCs w:val="20"/>
          <w:lang w:eastAsia="zh-CN"/>
        </w:rPr>
        <w:t>) Calibrated Enhanced-Resolution Passive Microwave (PMW) E</w:t>
      </w:r>
      <w:bookmarkStart w:id="0" w:name="_GoBack"/>
      <w:bookmarkEnd w:id="0"/>
      <w:r w:rsidRPr="009D0D0A">
        <w:rPr>
          <w:rFonts w:ascii="Arial" w:eastAsia="Times New Roman" w:hAnsi="Arial" w:cs="Arial"/>
          <w:color w:val="323232"/>
          <w:sz w:val="20"/>
          <w:szCs w:val="20"/>
          <w:lang w:eastAsia="zh-CN"/>
        </w:rPr>
        <w:t xml:space="preserve">ASE-Grid Brightness Temperature (Tb) Earth System Data Record (ESDR). The PMW MMOD dataset was validated using the transition date from Freeze Degree Days (FDD) to Thaw Degree Days (TDD) from in situ air temperature observations from 31 </w:t>
      </w:r>
      <w:proofErr w:type="spellStart"/>
      <w:r w:rsidRPr="009D0D0A">
        <w:rPr>
          <w:rFonts w:ascii="Arial" w:eastAsia="Times New Roman" w:hAnsi="Arial" w:cs="Arial"/>
          <w:color w:val="323232"/>
          <w:sz w:val="20"/>
          <w:szCs w:val="20"/>
          <w:lang w:eastAsia="zh-CN"/>
        </w:rPr>
        <w:t>SNOw</w:t>
      </w:r>
      <w:proofErr w:type="spellEnd"/>
      <w:r w:rsidRPr="009D0D0A">
        <w:rPr>
          <w:rFonts w:ascii="Arial" w:eastAsia="Times New Roman" w:hAnsi="Arial" w:cs="Arial"/>
          <w:color w:val="323232"/>
          <w:sz w:val="20"/>
          <w:szCs w:val="20"/>
          <w:lang w:eastAsia="zh-CN"/>
        </w:rPr>
        <w:t xml:space="preserve"> </w:t>
      </w:r>
      <w:proofErr w:type="spellStart"/>
      <w:r w:rsidRPr="009D0D0A">
        <w:rPr>
          <w:rFonts w:ascii="Arial" w:eastAsia="Times New Roman" w:hAnsi="Arial" w:cs="Arial"/>
          <w:color w:val="323232"/>
          <w:sz w:val="20"/>
          <w:szCs w:val="20"/>
          <w:lang w:eastAsia="zh-CN"/>
        </w:rPr>
        <w:t>TELemetry</w:t>
      </w:r>
      <w:proofErr w:type="spellEnd"/>
      <w:r w:rsidRPr="009D0D0A">
        <w:rPr>
          <w:rFonts w:ascii="Arial" w:eastAsia="Times New Roman" w:hAnsi="Arial" w:cs="Arial"/>
          <w:color w:val="323232"/>
          <w:sz w:val="20"/>
          <w:szCs w:val="20"/>
          <w:lang w:eastAsia="zh-CN"/>
        </w:rPr>
        <w:t xml:space="preserve"> network (SNOTEL) </w:t>
      </w:r>
      <w:r w:rsidR="008B6E84">
        <w:rPr>
          <w:rFonts w:ascii="Arial" w:eastAsia="Times New Roman" w:hAnsi="Arial" w:cs="Arial"/>
          <w:color w:val="323232"/>
          <w:sz w:val="20"/>
          <w:szCs w:val="20"/>
          <w:lang w:eastAsia="zh-CN"/>
        </w:rPr>
        <w:t>stations</w:t>
      </w:r>
      <w:r w:rsidRPr="009D0D0A">
        <w:rPr>
          <w:rFonts w:ascii="Arial" w:eastAsia="Times New Roman" w:hAnsi="Arial" w:cs="Arial"/>
          <w:color w:val="323232"/>
          <w:sz w:val="20"/>
          <w:szCs w:val="20"/>
          <w:lang w:eastAsia="zh-CN"/>
        </w:rPr>
        <w:t xml:space="preserve">, and compared to </w:t>
      </w:r>
      <w:r w:rsidR="008B6E84">
        <w:rPr>
          <w:rFonts w:ascii="Arial" w:eastAsia="Times New Roman" w:hAnsi="Arial" w:cs="Arial"/>
          <w:color w:val="323232"/>
          <w:sz w:val="20"/>
          <w:szCs w:val="20"/>
          <w:lang w:eastAsia="zh-CN"/>
        </w:rPr>
        <w:t>an</w:t>
      </w:r>
      <w:r w:rsidRPr="009D0D0A">
        <w:rPr>
          <w:rFonts w:ascii="Arial" w:eastAsia="Times New Roman" w:hAnsi="Arial" w:cs="Arial"/>
          <w:color w:val="323232"/>
          <w:sz w:val="20"/>
          <w:szCs w:val="20"/>
          <w:lang w:eastAsia="zh-CN"/>
        </w:rPr>
        <w:t xml:space="preserve"> established Freeze-Thaw ESDR (FT-ESDR) spring onset date</w:t>
      </w:r>
      <w:r w:rsidR="008B6E84">
        <w:rPr>
          <w:rFonts w:ascii="Arial" w:eastAsia="Times New Roman" w:hAnsi="Arial" w:cs="Arial"/>
          <w:color w:val="323232"/>
          <w:sz w:val="20"/>
          <w:szCs w:val="20"/>
          <w:lang w:eastAsia="zh-CN"/>
        </w:rPr>
        <w:t xml:space="preserve"> record</w:t>
      </w:r>
      <w:r w:rsidRPr="009D0D0A">
        <w:rPr>
          <w:rFonts w:ascii="Arial" w:eastAsia="Times New Roman" w:hAnsi="Arial" w:cs="Arial"/>
          <w:color w:val="323232"/>
          <w:sz w:val="20"/>
          <w:szCs w:val="20"/>
          <w:lang w:eastAsia="zh-CN"/>
        </w:rPr>
        <w:t xml:space="preserve">. The resulting MMOD data record is suitable for documenting the spatial-temporal impacts of MMOD variability in ecosystem services, wildlife movements, and hydrologic processes </w:t>
      </w:r>
      <w:r w:rsidR="008B6E84">
        <w:rPr>
          <w:rFonts w:ascii="Arial" w:eastAsia="Times New Roman" w:hAnsi="Arial" w:cs="Arial"/>
          <w:color w:val="323232"/>
          <w:sz w:val="20"/>
          <w:szCs w:val="20"/>
          <w:lang w:eastAsia="zh-CN"/>
        </w:rPr>
        <w:t>within</w:t>
      </w:r>
      <w:r w:rsidR="008B6E84" w:rsidRPr="009D0D0A">
        <w:rPr>
          <w:rFonts w:ascii="Arial" w:eastAsia="Times New Roman" w:hAnsi="Arial" w:cs="Arial"/>
          <w:color w:val="323232"/>
          <w:sz w:val="20"/>
          <w:szCs w:val="20"/>
          <w:lang w:eastAsia="zh-CN"/>
        </w:rPr>
        <w:t xml:space="preserve"> </w:t>
      </w:r>
      <w:r w:rsidRPr="009D0D0A">
        <w:rPr>
          <w:rFonts w:ascii="Arial" w:eastAsia="Times New Roman" w:hAnsi="Arial" w:cs="Arial"/>
          <w:color w:val="323232"/>
          <w:sz w:val="20"/>
          <w:szCs w:val="20"/>
          <w:lang w:eastAsia="zh-CN"/>
        </w:rPr>
        <w:t xml:space="preserve">the ABoVE </w:t>
      </w:r>
      <w:r w:rsidR="008B6E84">
        <w:rPr>
          <w:rFonts w:ascii="Arial" w:eastAsia="Times New Roman" w:hAnsi="Arial" w:cs="Arial"/>
          <w:color w:val="323232"/>
          <w:sz w:val="20"/>
          <w:szCs w:val="20"/>
          <w:lang w:eastAsia="zh-CN"/>
        </w:rPr>
        <w:t xml:space="preserve">(Arctic Boreal Vulnerability Experiment) </w:t>
      </w:r>
      <w:r w:rsidRPr="009D0D0A">
        <w:rPr>
          <w:rFonts w:ascii="Arial" w:eastAsia="Times New Roman" w:hAnsi="Arial" w:cs="Arial"/>
          <w:color w:val="323232"/>
          <w:sz w:val="20"/>
          <w:szCs w:val="20"/>
          <w:lang w:eastAsia="zh-CN"/>
        </w:rPr>
        <w:t>domain. The data from 1988-2016 included a coastal mask removing coastal pixels due to potential water contamination from coarse brightness temperature observations (</w:t>
      </w:r>
      <w:proofErr w:type="spellStart"/>
      <w:r w:rsidRPr="009D0D0A">
        <w:rPr>
          <w:rFonts w:ascii="Arial" w:eastAsia="Times New Roman" w:hAnsi="Arial" w:cs="Arial"/>
          <w:color w:val="323232"/>
          <w:sz w:val="20"/>
          <w:szCs w:val="20"/>
          <w:lang w:eastAsia="zh-CN"/>
        </w:rPr>
        <w:t>Dersken</w:t>
      </w:r>
      <w:proofErr w:type="spellEnd"/>
      <w:r w:rsidRPr="009D0D0A">
        <w:rPr>
          <w:rFonts w:ascii="Arial" w:eastAsia="Times New Roman" w:hAnsi="Arial" w:cs="Arial"/>
          <w:color w:val="323232"/>
          <w:sz w:val="20"/>
          <w:szCs w:val="20"/>
          <w:lang w:eastAsia="zh-CN"/>
        </w:rPr>
        <w:t xml:space="preserve"> et al., 2012). </w:t>
      </w:r>
      <w:r w:rsidR="008B6E84">
        <w:rPr>
          <w:rFonts w:ascii="Arial" w:eastAsia="Times New Roman" w:hAnsi="Arial" w:cs="Arial"/>
          <w:color w:val="323232"/>
          <w:sz w:val="20"/>
          <w:szCs w:val="20"/>
          <w:lang w:eastAsia="zh-CN"/>
        </w:rPr>
        <w:t>No</w:t>
      </w:r>
      <w:r w:rsidRPr="009D0D0A">
        <w:rPr>
          <w:rFonts w:ascii="Arial" w:eastAsia="Times New Roman" w:hAnsi="Arial" w:cs="Arial"/>
          <w:color w:val="323232"/>
          <w:sz w:val="20"/>
          <w:szCs w:val="20"/>
          <w:lang w:eastAsia="zh-CN"/>
        </w:rPr>
        <w:t xml:space="preserve"> coastal mask</w:t>
      </w:r>
      <w:r w:rsidR="008B6E84">
        <w:rPr>
          <w:rFonts w:ascii="Arial" w:eastAsia="Times New Roman" w:hAnsi="Arial" w:cs="Arial"/>
          <w:color w:val="323232"/>
          <w:sz w:val="20"/>
          <w:szCs w:val="20"/>
          <w:lang w:eastAsia="zh-CN"/>
        </w:rPr>
        <w:t xml:space="preserve"> is used</w:t>
      </w:r>
      <w:r w:rsidRPr="009D0D0A">
        <w:rPr>
          <w:rFonts w:ascii="Arial" w:eastAsia="Times New Roman" w:hAnsi="Arial" w:cs="Arial"/>
          <w:color w:val="323232"/>
          <w:sz w:val="20"/>
          <w:szCs w:val="20"/>
          <w:lang w:eastAsia="zh-CN"/>
        </w:rPr>
        <w:t xml:space="preserve"> for the 2017-20</w:t>
      </w:r>
      <w:r w:rsidR="00E17245">
        <w:rPr>
          <w:rFonts w:ascii="Arial" w:eastAsia="Times New Roman" w:hAnsi="Arial" w:cs="Arial"/>
          <w:color w:val="323232"/>
          <w:sz w:val="20"/>
          <w:szCs w:val="20"/>
          <w:lang w:eastAsia="zh-CN"/>
        </w:rPr>
        <w:t>23</w:t>
      </w:r>
      <w:r w:rsidRPr="009D0D0A">
        <w:rPr>
          <w:rFonts w:ascii="Arial" w:eastAsia="Times New Roman" w:hAnsi="Arial" w:cs="Arial"/>
          <w:color w:val="323232"/>
          <w:sz w:val="20"/>
          <w:szCs w:val="20"/>
          <w:lang w:eastAsia="zh-CN"/>
        </w:rPr>
        <w:t xml:space="preserve"> data. </w:t>
      </w:r>
      <w:r w:rsidR="00785586" w:rsidRPr="009D0D0A">
        <w:rPr>
          <w:rFonts w:ascii="Arial" w:eastAsia="Times New Roman" w:hAnsi="Arial" w:cs="Arial"/>
          <w:color w:val="323232"/>
          <w:sz w:val="20"/>
          <w:szCs w:val="20"/>
          <w:lang w:eastAsia="zh-CN"/>
        </w:rPr>
        <w:t>The full data are included, and data users should be aware that values</w:t>
      </w:r>
      <w:r w:rsidR="00785586">
        <w:rPr>
          <w:rFonts w:ascii="Arial" w:eastAsia="Times New Roman" w:hAnsi="Arial" w:cs="Arial"/>
          <w:color w:val="323232"/>
          <w:sz w:val="20"/>
          <w:szCs w:val="20"/>
          <w:lang w:eastAsia="zh-CN"/>
        </w:rPr>
        <w:t xml:space="preserve"> adjacent to</w:t>
      </w:r>
      <w:r w:rsidR="00785586" w:rsidRPr="009D0D0A">
        <w:rPr>
          <w:rFonts w:ascii="Arial" w:eastAsia="Times New Roman" w:hAnsi="Arial" w:cs="Arial"/>
          <w:color w:val="323232"/>
          <w:sz w:val="20"/>
          <w:szCs w:val="20"/>
          <w:lang w:eastAsia="zh-CN"/>
        </w:rPr>
        <w:t xml:space="preserve"> </w:t>
      </w:r>
      <w:r w:rsidR="00785586">
        <w:rPr>
          <w:rFonts w:ascii="Arial" w:eastAsia="Times New Roman" w:hAnsi="Arial" w:cs="Arial"/>
          <w:color w:val="323232"/>
          <w:sz w:val="20"/>
          <w:szCs w:val="20"/>
          <w:lang w:eastAsia="zh-CN"/>
        </w:rPr>
        <w:t xml:space="preserve">large </w:t>
      </w:r>
      <w:r w:rsidR="00785586" w:rsidRPr="009D0D0A">
        <w:rPr>
          <w:rFonts w:ascii="Arial" w:eastAsia="Times New Roman" w:hAnsi="Arial" w:cs="Arial"/>
          <w:color w:val="323232"/>
          <w:sz w:val="20"/>
          <w:szCs w:val="20"/>
          <w:lang w:eastAsia="zh-CN"/>
        </w:rPr>
        <w:t>water bodies can be adversely affected</w:t>
      </w:r>
      <w:r w:rsidRPr="009D0D0A">
        <w:rPr>
          <w:rFonts w:ascii="Arial" w:eastAsia="Times New Roman" w:hAnsi="Arial" w:cs="Arial"/>
          <w:color w:val="323232"/>
          <w:sz w:val="20"/>
          <w:szCs w:val="20"/>
          <w:lang w:eastAsia="zh-CN"/>
        </w:rPr>
        <w:t>.</w:t>
      </w:r>
    </w:p>
    <w:p w14:paraId="3B7B500F" w14:textId="77777777" w:rsidR="009D0D0A" w:rsidRP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The spatial domain was intended to match the MODIS Alaska Snow Metrics (Lindsay et al., 2015) and extend its temporal fidelity beyond the MODIS era.</w:t>
      </w:r>
    </w:p>
    <w:p w14:paraId="04BB203A" w14:textId="079DCE8A" w:rsid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The dataset includes 3</w:t>
      </w:r>
      <w:r w:rsidR="00E17245">
        <w:rPr>
          <w:rFonts w:ascii="Arial" w:eastAsia="Times New Roman" w:hAnsi="Arial" w:cs="Arial"/>
          <w:color w:val="323232"/>
          <w:sz w:val="20"/>
          <w:szCs w:val="20"/>
          <w:lang w:eastAsia="zh-CN"/>
        </w:rPr>
        <w:t>7</w:t>
      </w:r>
      <w:r w:rsidRPr="009D0D0A">
        <w:rPr>
          <w:rFonts w:ascii="Arial" w:eastAsia="Times New Roman" w:hAnsi="Arial" w:cs="Arial"/>
          <w:color w:val="323232"/>
          <w:sz w:val="20"/>
          <w:szCs w:val="20"/>
          <w:lang w:eastAsia="zh-CN"/>
        </w:rPr>
        <w:t xml:space="preserve"> files in </w:t>
      </w:r>
      <w:proofErr w:type="spellStart"/>
      <w:r w:rsidRPr="009D0D0A">
        <w:rPr>
          <w:rFonts w:ascii="Arial" w:eastAsia="Times New Roman" w:hAnsi="Arial" w:cs="Arial"/>
          <w:color w:val="323232"/>
          <w:sz w:val="20"/>
          <w:szCs w:val="20"/>
          <w:lang w:eastAsia="zh-CN"/>
        </w:rPr>
        <w:t>GeoTIFF</w:t>
      </w:r>
      <w:proofErr w:type="spellEnd"/>
      <w:r w:rsidRPr="009D0D0A">
        <w:rPr>
          <w:rFonts w:ascii="Arial" w:eastAsia="Times New Roman" w:hAnsi="Arial" w:cs="Arial"/>
          <w:color w:val="323232"/>
          <w:sz w:val="20"/>
          <w:szCs w:val="20"/>
          <w:lang w:eastAsia="zh-CN"/>
        </w:rPr>
        <w:t xml:space="preserve"> (*.</w:t>
      </w:r>
      <w:proofErr w:type="spellStart"/>
      <w:r w:rsidRPr="009D0D0A">
        <w:rPr>
          <w:rFonts w:ascii="Arial" w:eastAsia="Times New Roman" w:hAnsi="Arial" w:cs="Arial"/>
          <w:color w:val="323232"/>
          <w:sz w:val="20"/>
          <w:szCs w:val="20"/>
          <w:lang w:eastAsia="zh-CN"/>
        </w:rPr>
        <w:t>tif</w:t>
      </w:r>
      <w:proofErr w:type="spellEnd"/>
      <w:r w:rsidRPr="009D0D0A">
        <w:rPr>
          <w:rFonts w:ascii="Arial" w:eastAsia="Times New Roman" w:hAnsi="Arial" w:cs="Arial"/>
          <w:color w:val="323232"/>
          <w:sz w:val="20"/>
          <w:szCs w:val="20"/>
          <w:lang w:eastAsia="zh-CN"/>
        </w:rPr>
        <w:t>) format—one data file for every year of the 3</w:t>
      </w:r>
      <w:r w:rsidR="00E17245">
        <w:rPr>
          <w:rFonts w:ascii="Arial" w:eastAsia="Times New Roman" w:hAnsi="Arial" w:cs="Arial"/>
          <w:color w:val="323232"/>
          <w:sz w:val="20"/>
          <w:szCs w:val="20"/>
          <w:lang w:eastAsia="zh-CN"/>
        </w:rPr>
        <w:t>6</w:t>
      </w:r>
      <w:r w:rsidRPr="009D0D0A">
        <w:rPr>
          <w:rFonts w:ascii="Arial" w:eastAsia="Times New Roman" w:hAnsi="Arial" w:cs="Arial"/>
          <w:color w:val="323232"/>
          <w:sz w:val="20"/>
          <w:szCs w:val="20"/>
          <w:lang w:eastAsia="zh-CN"/>
        </w:rPr>
        <w:t>-year record and a fractional water mask (applies to the 1988-2016 data only).</w:t>
      </w:r>
    </w:p>
    <w:p w14:paraId="5B318D34" w14:textId="21C3454C" w:rsidR="009D0D0A" w:rsidRPr="009D0D0A" w:rsidRDefault="003628F8" w:rsidP="00E17245">
      <w:pPr>
        <w:spacing w:before="180" w:after="180"/>
        <w:jc w:val="center"/>
        <w:rPr>
          <w:rFonts w:ascii="Arial" w:eastAsia="Times New Roman" w:hAnsi="Arial" w:cs="Arial"/>
          <w:color w:val="323232"/>
          <w:sz w:val="20"/>
          <w:szCs w:val="20"/>
          <w:lang w:eastAsia="zh-CN"/>
        </w:rPr>
      </w:pPr>
      <w:r>
        <w:rPr>
          <w:rFonts w:ascii="Arial" w:eastAsia="Times New Roman" w:hAnsi="Arial" w:cs="Arial"/>
          <w:noProof/>
          <w:color w:val="323232"/>
          <w:sz w:val="20"/>
          <w:szCs w:val="20"/>
          <w:lang w:eastAsia="zh-CN"/>
        </w:rPr>
        <w:drawing>
          <wp:inline distT="0" distB="0" distL="0" distR="0" wp14:anchorId="5B464694" wp14:editId="3E52B68E">
            <wp:extent cx="3690851" cy="261435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x.tif"/>
                    <pic:cNvPicPr/>
                  </pic:nvPicPr>
                  <pic:blipFill>
                    <a:blip r:embed="rId6">
                      <a:extLst>
                        <a:ext uri="{28A0092B-C50C-407E-A947-70E740481C1C}">
                          <a14:useLocalDpi xmlns:a14="http://schemas.microsoft.com/office/drawing/2010/main" val="0"/>
                        </a:ext>
                      </a:extLst>
                    </a:blip>
                    <a:stretch>
                      <a:fillRect/>
                    </a:stretch>
                  </pic:blipFill>
                  <pic:spPr>
                    <a:xfrm>
                      <a:off x="0" y="0"/>
                      <a:ext cx="3690851" cy="2614353"/>
                    </a:xfrm>
                    <a:prstGeom prst="rect">
                      <a:avLst/>
                    </a:prstGeom>
                  </pic:spPr>
                </pic:pic>
              </a:graphicData>
            </a:graphic>
          </wp:inline>
        </w:drawing>
      </w:r>
    </w:p>
    <w:p w14:paraId="3D77E4C9" w14:textId="05DC82FB" w:rsidR="00211553" w:rsidRDefault="009D0D0A" w:rsidP="009D0D0A">
      <w:pPr>
        <w:rPr>
          <w:rFonts w:ascii="Arial" w:hAnsi="Arial" w:cs="Arial"/>
          <w:color w:val="323232"/>
          <w:sz w:val="20"/>
          <w:szCs w:val="20"/>
          <w:shd w:val="clear" w:color="auto" w:fill="FFFFFF"/>
        </w:rPr>
      </w:pPr>
      <w:r>
        <w:rPr>
          <w:rFonts w:ascii="Arial" w:hAnsi="Arial" w:cs="Arial"/>
          <w:color w:val="323232"/>
          <w:sz w:val="20"/>
          <w:szCs w:val="20"/>
          <w:shd w:val="clear" w:color="auto" w:fill="FFFFFF"/>
        </w:rPr>
        <w:t xml:space="preserve">Figure 1. Spatial extent of snowpack main melt onset dataset (MMOD) extending from the Russian Far East across Alaska into Canada's Northwest Territories and British Columbia. The map also includes the GRDC river gauging locations (blue diamonds) used at Eagle, Stevens Village, and Pilot basins (black outlines). Locations of river ice breakup observations (white circles), the World Meteorological Organization (WMO) stations (orange triangles), and </w:t>
      </w:r>
      <w:proofErr w:type="spellStart"/>
      <w:r>
        <w:rPr>
          <w:rFonts w:ascii="Arial" w:hAnsi="Arial" w:cs="Arial"/>
          <w:color w:val="323232"/>
          <w:sz w:val="20"/>
          <w:szCs w:val="20"/>
          <w:shd w:val="clear" w:color="auto" w:fill="FFFFFF"/>
        </w:rPr>
        <w:t>SNOw</w:t>
      </w:r>
      <w:proofErr w:type="spellEnd"/>
      <w:r>
        <w:rPr>
          <w:rFonts w:ascii="Arial" w:hAnsi="Arial" w:cs="Arial"/>
          <w:color w:val="323232"/>
          <w:sz w:val="20"/>
          <w:szCs w:val="20"/>
          <w:shd w:val="clear" w:color="auto" w:fill="FFFFFF"/>
        </w:rPr>
        <w:t xml:space="preserve"> </w:t>
      </w:r>
      <w:proofErr w:type="spellStart"/>
      <w:r>
        <w:rPr>
          <w:rFonts w:ascii="Arial" w:hAnsi="Arial" w:cs="Arial"/>
          <w:color w:val="323232"/>
          <w:sz w:val="20"/>
          <w:szCs w:val="20"/>
          <w:shd w:val="clear" w:color="auto" w:fill="FFFFFF"/>
        </w:rPr>
        <w:t>TELemetry</w:t>
      </w:r>
      <w:proofErr w:type="spellEnd"/>
      <w:r>
        <w:rPr>
          <w:rFonts w:ascii="Arial" w:hAnsi="Arial" w:cs="Arial"/>
          <w:color w:val="323232"/>
          <w:sz w:val="20"/>
          <w:szCs w:val="20"/>
          <w:shd w:val="clear" w:color="auto" w:fill="FFFFFF"/>
        </w:rPr>
        <w:t xml:space="preserve"> network (SNOTEL) stations (purple triangles) are shown. Source: Pan et al. (2021)</w:t>
      </w:r>
    </w:p>
    <w:p w14:paraId="77998077" w14:textId="56E258A7" w:rsidR="009D0D0A" w:rsidRDefault="009D0D0A" w:rsidP="009D0D0A">
      <w:pPr>
        <w:rPr>
          <w:rFonts w:ascii="Arial" w:hAnsi="Arial" w:cs="Arial"/>
          <w:color w:val="323232"/>
          <w:sz w:val="20"/>
          <w:szCs w:val="20"/>
          <w:shd w:val="clear" w:color="auto" w:fill="FFFFFF"/>
        </w:rPr>
      </w:pPr>
    </w:p>
    <w:p w14:paraId="0692EBB3" w14:textId="77777777" w:rsidR="009D0D0A" w:rsidRDefault="009D0D0A" w:rsidP="009D0D0A">
      <w:pPr>
        <w:pStyle w:val="Heading2"/>
        <w:rPr>
          <w:rFonts w:ascii="Arial" w:hAnsi="Arial" w:cs="Arial"/>
          <w:color w:val="323232"/>
        </w:rPr>
      </w:pPr>
      <w:r>
        <w:rPr>
          <w:rFonts w:ascii="Arial" w:hAnsi="Arial" w:cs="Arial"/>
          <w:color w:val="323232"/>
        </w:rPr>
        <w:t>Citation</w:t>
      </w:r>
    </w:p>
    <w:p w14:paraId="4D68DEFC" w14:textId="028722B7" w:rsidR="009D0D0A" w:rsidRDefault="009D0D0A" w:rsidP="009D0D0A">
      <w:pPr>
        <w:pStyle w:val="citation"/>
        <w:spacing w:before="180" w:beforeAutospacing="0" w:after="180" w:afterAutospacing="0"/>
        <w:rPr>
          <w:rFonts w:ascii="Arial" w:hAnsi="Arial" w:cs="Arial"/>
          <w:color w:val="323232"/>
          <w:sz w:val="20"/>
          <w:szCs w:val="20"/>
        </w:rPr>
      </w:pPr>
      <w:r>
        <w:rPr>
          <w:rFonts w:ascii="Arial" w:hAnsi="Arial" w:cs="Arial"/>
          <w:color w:val="323232"/>
          <w:sz w:val="20"/>
          <w:szCs w:val="20"/>
        </w:rPr>
        <w:t>Pan, C.G., P.B. Kirchner, J.S. Kimball, and J. Du. 202</w:t>
      </w:r>
      <w:r w:rsidR="00E17245">
        <w:rPr>
          <w:rFonts w:ascii="Arial" w:hAnsi="Arial" w:cs="Arial"/>
          <w:color w:val="323232"/>
          <w:sz w:val="20"/>
          <w:szCs w:val="20"/>
        </w:rPr>
        <w:t>5</w:t>
      </w:r>
      <w:r>
        <w:rPr>
          <w:rFonts w:ascii="Arial" w:hAnsi="Arial" w:cs="Arial"/>
          <w:color w:val="323232"/>
          <w:sz w:val="20"/>
          <w:szCs w:val="20"/>
        </w:rPr>
        <w:t>. ABoVE: Passive Microwave-derived Annual Snowpack Main Melt Onset Date Maps, 1988-20</w:t>
      </w:r>
      <w:r w:rsidR="00E17245">
        <w:rPr>
          <w:rFonts w:ascii="Arial" w:hAnsi="Arial" w:cs="Arial"/>
          <w:color w:val="323232"/>
          <w:sz w:val="20"/>
          <w:szCs w:val="20"/>
        </w:rPr>
        <w:t>23</w:t>
      </w:r>
      <w:r>
        <w:rPr>
          <w:rFonts w:ascii="Arial" w:hAnsi="Arial" w:cs="Arial"/>
          <w:color w:val="323232"/>
          <w:sz w:val="20"/>
          <w:szCs w:val="20"/>
        </w:rPr>
        <w:t>. ORNL DAAC, Oak Ridge, Tennessee, USA. </w:t>
      </w:r>
      <w:hyperlink r:id="rId7" w:history="1">
        <w:r>
          <w:rPr>
            <w:rStyle w:val="Hyperlink"/>
            <w:rFonts w:ascii="Arial" w:hAnsi="Arial" w:cs="Arial"/>
            <w:color w:val="2276AC"/>
            <w:sz w:val="20"/>
            <w:szCs w:val="20"/>
          </w:rPr>
          <w:t>https://doi.org/10.3334/ORNLDAAC/1841</w:t>
        </w:r>
      </w:hyperlink>
    </w:p>
    <w:p w14:paraId="79B9127C" w14:textId="46F65754" w:rsidR="009D0D0A" w:rsidRDefault="009D0D0A" w:rsidP="00C600AD">
      <w:pPr>
        <w:pStyle w:val="Heading2"/>
        <w:numPr>
          <w:ilvl w:val="0"/>
          <w:numId w:val="4"/>
        </w:numPr>
        <w:rPr>
          <w:rFonts w:ascii="Arial" w:hAnsi="Arial" w:cs="Arial"/>
          <w:color w:val="323232"/>
        </w:rPr>
      </w:pPr>
      <w:r>
        <w:rPr>
          <w:rFonts w:ascii="Arial" w:hAnsi="Arial" w:cs="Arial"/>
          <w:color w:val="323232"/>
        </w:rPr>
        <w:t>Dataset Overview</w:t>
      </w:r>
    </w:p>
    <w:p w14:paraId="4C07229F" w14:textId="0137C61D"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This dataset provides the annual date of snowpack seasonal beginning melt (i.e., main melt onset date, MMOD) across northwest Canada; Alaska, U.S.; and parts of far eastern Russia at 6.25 km resolution for the period 1988–20</w:t>
      </w:r>
      <w:r w:rsidR="00C600AD">
        <w:rPr>
          <w:rFonts w:ascii="Arial" w:hAnsi="Arial" w:cs="Arial"/>
          <w:color w:val="323232"/>
          <w:sz w:val="20"/>
          <w:szCs w:val="20"/>
        </w:rPr>
        <w:t>23</w:t>
      </w:r>
      <w:r>
        <w:rPr>
          <w:rFonts w:ascii="Arial" w:hAnsi="Arial" w:cs="Arial"/>
          <w:color w:val="323232"/>
          <w:sz w:val="20"/>
          <w:szCs w:val="20"/>
        </w:rPr>
        <w:t>. MMOD was derived from the daily 19V (K-band) and 37V (Ka-band) GHz bands from the Making Earth Science Data Records for Use in Research Environments (</w:t>
      </w:r>
      <w:proofErr w:type="spellStart"/>
      <w:r>
        <w:rPr>
          <w:rFonts w:ascii="Arial" w:hAnsi="Arial" w:cs="Arial"/>
          <w:color w:val="323232"/>
          <w:sz w:val="20"/>
          <w:szCs w:val="20"/>
        </w:rPr>
        <w:t>MEaSUREs</w:t>
      </w:r>
      <w:proofErr w:type="spellEnd"/>
      <w:r>
        <w:rPr>
          <w:rFonts w:ascii="Arial" w:hAnsi="Arial" w:cs="Arial"/>
          <w:color w:val="323232"/>
          <w:sz w:val="20"/>
          <w:szCs w:val="20"/>
        </w:rPr>
        <w:t xml:space="preserve">) Calibrated Enhanced-Resolution Passive Microwave (PMW) EASE-Grid Brightness Temperature (Tb) Earth System Data Record (ESDR). The PMW MMOD dataset was validated using the transition date from Freeze Degree Days (FDD) to Thaw Degree Days (TDD) from in situ air temperature observations from 31 </w:t>
      </w:r>
      <w:proofErr w:type="spellStart"/>
      <w:r>
        <w:rPr>
          <w:rFonts w:ascii="Arial" w:hAnsi="Arial" w:cs="Arial"/>
          <w:color w:val="323232"/>
          <w:sz w:val="20"/>
          <w:szCs w:val="20"/>
        </w:rPr>
        <w:t>SNOw</w:t>
      </w:r>
      <w:proofErr w:type="spellEnd"/>
      <w:r>
        <w:rPr>
          <w:rFonts w:ascii="Arial" w:hAnsi="Arial" w:cs="Arial"/>
          <w:color w:val="323232"/>
          <w:sz w:val="20"/>
          <w:szCs w:val="20"/>
        </w:rPr>
        <w:t xml:space="preserve"> </w:t>
      </w:r>
      <w:proofErr w:type="spellStart"/>
      <w:r>
        <w:rPr>
          <w:rFonts w:ascii="Arial" w:hAnsi="Arial" w:cs="Arial"/>
          <w:color w:val="323232"/>
          <w:sz w:val="20"/>
          <w:szCs w:val="20"/>
        </w:rPr>
        <w:t>TELemetry</w:t>
      </w:r>
      <w:proofErr w:type="spellEnd"/>
      <w:r>
        <w:rPr>
          <w:rFonts w:ascii="Arial" w:hAnsi="Arial" w:cs="Arial"/>
          <w:color w:val="323232"/>
          <w:sz w:val="20"/>
          <w:szCs w:val="20"/>
        </w:rPr>
        <w:t xml:space="preserve"> network (SNOTEL) </w:t>
      </w:r>
      <w:r w:rsidR="008B6E84">
        <w:rPr>
          <w:rFonts w:ascii="Arial" w:hAnsi="Arial" w:cs="Arial"/>
          <w:color w:val="323232"/>
          <w:sz w:val="20"/>
          <w:szCs w:val="20"/>
        </w:rPr>
        <w:t>stations</w:t>
      </w:r>
      <w:r>
        <w:rPr>
          <w:rFonts w:ascii="Arial" w:hAnsi="Arial" w:cs="Arial"/>
          <w:color w:val="323232"/>
          <w:sz w:val="20"/>
          <w:szCs w:val="20"/>
        </w:rPr>
        <w:t>, and compared to the established Freeze-Thaw ESDR (FT-ESDR) spring onset date</w:t>
      </w:r>
      <w:r w:rsidR="008B6E84">
        <w:rPr>
          <w:rFonts w:ascii="Arial" w:hAnsi="Arial" w:cs="Arial"/>
          <w:color w:val="323232"/>
          <w:sz w:val="20"/>
          <w:szCs w:val="20"/>
        </w:rPr>
        <w:t xml:space="preserve"> record</w:t>
      </w:r>
      <w:r>
        <w:rPr>
          <w:rFonts w:ascii="Arial" w:hAnsi="Arial" w:cs="Arial"/>
          <w:color w:val="323232"/>
          <w:sz w:val="20"/>
          <w:szCs w:val="20"/>
        </w:rPr>
        <w:t>. The resulting MMOD data record is suitable for documenting the spatial-temporal impacts of MMOD variability in ecosystem services, wildlife movements, and hydrologic processes across the ABoVE domain.</w:t>
      </w:r>
    </w:p>
    <w:p w14:paraId="48C8061A"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The spatial domain was intended to match the MODIS Alaska Snow Metrics (Lindsay et al., 2015) and extend its temporal fidelity beyond the MODIS era.</w:t>
      </w:r>
    </w:p>
    <w:p w14:paraId="3C9EF334"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Project:</w:t>
      </w:r>
      <w:r>
        <w:rPr>
          <w:rFonts w:ascii="Arial" w:hAnsi="Arial" w:cs="Arial"/>
          <w:color w:val="323232"/>
          <w:sz w:val="20"/>
          <w:szCs w:val="20"/>
        </w:rPr>
        <w:t> </w:t>
      </w:r>
      <w:hyperlink r:id="rId8" w:history="1">
        <w:r>
          <w:rPr>
            <w:rStyle w:val="Hyperlink"/>
            <w:rFonts w:ascii="Arial" w:hAnsi="Arial" w:cs="Arial"/>
            <w:color w:val="2276AC"/>
            <w:sz w:val="20"/>
            <w:szCs w:val="20"/>
          </w:rPr>
          <w:t>Arctic-Boreal Vulnerability Experiment</w:t>
        </w:r>
      </w:hyperlink>
    </w:p>
    <w:p w14:paraId="38E4F0FA" w14:textId="563B1D0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 xml:space="preserve">The Arctic-Boreal Vulnerability Experiment (ABoVE) is a NASA Terrestrial Ecology Program field campaign conducted in Alaska and western Canada, for </w:t>
      </w:r>
      <w:r w:rsidR="008B6E84">
        <w:rPr>
          <w:rFonts w:ascii="Arial" w:hAnsi="Arial" w:cs="Arial"/>
          <w:color w:val="323232"/>
          <w:sz w:val="20"/>
          <w:szCs w:val="20"/>
        </w:rPr>
        <w:t>up to</w:t>
      </w:r>
      <w:r>
        <w:rPr>
          <w:rFonts w:ascii="Arial" w:hAnsi="Arial" w:cs="Arial"/>
          <w:color w:val="323232"/>
          <w:sz w:val="20"/>
          <w:szCs w:val="20"/>
        </w:rPr>
        <w:t xml:space="preserve"> 10 years, starting in 2015. Research for </w:t>
      </w:r>
      <w:r w:rsidR="008B6E84">
        <w:rPr>
          <w:rFonts w:ascii="Arial" w:hAnsi="Arial" w:cs="Arial"/>
          <w:color w:val="323232"/>
          <w:sz w:val="20"/>
          <w:szCs w:val="20"/>
        </w:rPr>
        <w:t xml:space="preserve">the </w:t>
      </w:r>
      <w:r>
        <w:rPr>
          <w:rFonts w:ascii="Arial" w:hAnsi="Arial" w:cs="Arial"/>
          <w:color w:val="323232"/>
          <w:sz w:val="20"/>
          <w:szCs w:val="20"/>
        </w:rPr>
        <w:t>ABoVE links field-based, process-level studies with geospatial data products derived from airborne and satellite sensors, providing a foundation for improving the analysis, and modeling capabilities needed to understand and predict ecosystem responses to, and societal implications of, climate change in the Arctic and Boreal regions.</w:t>
      </w:r>
    </w:p>
    <w:p w14:paraId="41FD6D8E"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Related Publications</w:t>
      </w:r>
    </w:p>
    <w:p w14:paraId="3260A60C"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 xml:space="preserve">Pan, C.G., P.B. Kirchner, J.S. Kimball, and J. Du. 2020. A long-term passive microwave </w:t>
      </w:r>
      <w:proofErr w:type="spellStart"/>
      <w:r>
        <w:rPr>
          <w:rFonts w:ascii="Arial" w:hAnsi="Arial" w:cs="Arial"/>
          <w:color w:val="323232"/>
          <w:sz w:val="20"/>
          <w:szCs w:val="20"/>
        </w:rPr>
        <w:t>snowoff</w:t>
      </w:r>
      <w:proofErr w:type="spellEnd"/>
      <w:r>
        <w:rPr>
          <w:rFonts w:ascii="Arial" w:hAnsi="Arial" w:cs="Arial"/>
          <w:color w:val="323232"/>
          <w:sz w:val="20"/>
          <w:szCs w:val="20"/>
        </w:rPr>
        <w:t xml:space="preserve"> record for the Alaska region 1988-2016. Remote Sensing 12(1):153. </w:t>
      </w:r>
      <w:hyperlink r:id="rId9" w:history="1">
        <w:r>
          <w:rPr>
            <w:rStyle w:val="Hyperlink"/>
            <w:rFonts w:ascii="Arial" w:hAnsi="Arial" w:cs="Arial"/>
            <w:color w:val="2276AC"/>
            <w:sz w:val="20"/>
            <w:szCs w:val="20"/>
          </w:rPr>
          <w:t>https://doi.org/10.3390/rs12010153</w:t>
        </w:r>
      </w:hyperlink>
    </w:p>
    <w:p w14:paraId="7D463848" w14:textId="77777777" w:rsidR="0096243C" w:rsidRPr="009D0D0A" w:rsidRDefault="0096243C" w:rsidP="0096243C">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Pan, C.G., P.B. Kirchner, J.S. Kimball, J. Du.</w:t>
      </w:r>
      <w:r>
        <w:rPr>
          <w:rFonts w:ascii="Arial" w:eastAsia="Times New Roman" w:hAnsi="Arial" w:cs="Arial"/>
          <w:color w:val="323232"/>
          <w:sz w:val="20"/>
          <w:szCs w:val="20"/>
          <w:lang w:eastAsia="zh-CN"/>
        </w:rPr>
        <w:t>, and M.A. Rawlins.</w:t>
      </w:r>
      <w:r w:rsidRPr="009D0D0A">
        <w:rPr>
          <w:rFonts w:ascii="Arial" w:eastAsia="Times New Roman" w:hAnsi="Arial" w:cs="Arial"/>
          <w:color w:val="323232"/>
          <w:sz w:val="20"/>
          <w:szCs w:val="20"/>
          <w:lang w:eastAsia="zh-CN"/>
        </w:rPr>
        <w:t xml:space="preserve"> 2021. Snow phenology and hydrologic timing in the Yukon River Basin, AK, USA. Remote Sensing, 13(12), p.2284.</w:t>
      </w:r>
      <w:r>
        <w:rPr>
          <w:rFonts w:ascii="Arial" w:eastAsia="Times New Roman" w:hAnsi="Arial" w:cs="Arial"/>
          <w:color w:val="323232"/>
          <w:sz w:val="20"/>
          <w:szCs w:val="20"/>
          <w:lang w:eastAsia="zh-CN"/>
        </w:rPr>
        <w:t xml:space="preserve"> </w:t>
      </w:r>
      <w:hyperlink r:id="rId10" w:history="1">
        <w:r w:rsidRPr="009D0D0A">
          <w:rPr>
            <w:rFonts w:ascii="Arial" w:eastAsia="Times New Roman" w:hAnsi="Arial" w:cs="Arial"/>
            <w:color w:val="2276AC"/>
            <w:sz w:val="20"/>
            <w:szCs w:val="20"/>
            <w:u w:val="single"/>
            <w:lang w:eastAsia="zh-CN"/>
          </w:rPr>
          <w:t>https://doi.org/10.3390/rs13122284</w:t>
        </w:r>
      </w:hyperlink>
    </w:p>
    <w:p w14:paraId="5AEBE332"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Related Datasets</w:t>
      </w:r>
    </w:p>
    <w:p w14:paraId="2677D094"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Du, J., J.S. Kimball, and J.D. Watts. 2016. ABoVE: Fractional Open Water Cover for Pan-Arctic and ABoVE-Domain Regions, 2002-2015. ORNL DAAC, Oak Ridge, Tennessee, USA. </w:t>
      </w:r>
      <w:hyperlink r:id="rId11" w:history="1">
        <w:r>
          <w:rPr>
            <w:rStyle w:val="Hyperlink"/>
            <w:rFonts w:ascii="Arial" w:hAnsi="Arial" w:cs="Arial"/>
            <w:color w:val="2276AC"/>
            <w:sz w:val="20"/>
            <w:szCs w:val="20"/>
          </w:rPr>
          <w:t>https://doi.org/10.3334/ORNLDAAC/1362</w:t>
        </w:r>
      </w:hyperlink>
    </w:p>
    <w:p w14:paraId="5D898851"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Loboda, T.V., E.E. Hoy, and M.L. Carroll. 2019. ABoVE: Study Domain and Standard Reference Grids, Version 2. ORNL DAAC, Oak Ridge, Tennessee, USA. </w:t>
      </w:r>
      <w:hyperlink r:id="rId12" w:history="1">
        <w:r>
          <w:rPr>
            <w:rStyle w:val="Hyperlink"/>
            <w:rFonts w:ascii="Arial" w:hAnsi="Arial" w:cs="Arial"/>
            <w:color w:val="2276AC"/>
            <w:sz w:val="20"/>
            <w:szCs w:val="20"/>
          </w:rPr>
          <w:t>https://doi.org/10.3334/ORNLDAAC/1527</w:t>
        </w:r>
      </w:hyperlink>
    </w:p>
    <w:p w14:paraId="003F815E"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Pan, C.G., P.B. Kirchner, J.S. Kimball, Y. Kim, and J. Du. 2018. ABoVE: Rain-on-Snow Frequency and Distribution during Cold Seasons, Alaska, 2003-2016. ORNL DAAC, Oak Ridge, Tennessee, USA. </w:t>
      </w:r>
      <w:hyperlink r:id="rId13" w:history="1">
        <w:r>
          <w:rPr>
            <w:rStyle w:val="Hyperlink"/>
            <w:rFonts w:ascii="Arial" w:hAnsi="Arial" w:cs="Arial"/>
            <w:color w:val="2276AC"/>
            <w:sz w:val="20"/>
            <w:szCs w:val="20"/>
          </w:rPr>
          <w:t>https://doi.org/10.3334/ORNLDAAC/1611</w:t>
        </w:r>
      </w:hyperlink>
    </w:p>
    <w:p w14:paraId="1F52A2E1"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 xml:space="preserve">Pan, C.G., P.B. Kirchner, J. Du, and J.S. Kimball. 2019. ABoVE: Passive Microwave-derived Annual </w:t>
      </w:r>
      <w:proofErr w:type="spellStart"/>
      <w:r>
        <w:rPr>
          <w:rFonts w:ascii="Arial" w:hAnsi="Arial" w:cs="Arial"/>
          <w:color w:val="323232"/>
          <w:sz w:val="20"/>
          <w:szCs w:val="20"/>
        </w:rPr>
        <w:t>Snowoff</w:t>
      </w:r>
      <w:proofErr w:type="spellEnd"/>
      <w:r>
        <w:rPr>
          <w:rFonts w:ascii="Arial" w:hAnsi="Arial" w:cs="Arial"/>
          <w:color w:val="323232"/>
          <w:sz w:val="20"/>
          <w:szCs w:val="20"/>
        </w:rPr>
        <w:t xml:space="preserve"> Date Maps, 1988-2018. ORNL DAAC, Oak Ridge, Tennessee, USA. </w:t>
      </w:r>
      <w:hyperlink r:id="rId14" w:history="1">
        <w:r>
          <w:rPr>
            <w:rStyle w:val="Hyperlink"/>
            <w:rFonts w:ascii="Arial" w:hAnsi="Arial" w:cs="Arial"/>
            <w:color w:val="2276AC"/>
            <w:sz w:val="20"/>
            <w:szCs w:val="20"/>
          </w:rPr>
          <w:t>https://doi.org/10.3334/ORNLDAAC/1711</w:t>
        </w:r>
      </w:hyperlink>
    </w:p>
    <w:p w14:paraId="403F6044"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Pan, C.G., P.B. Kirchner, J.S. Kimball, and J. Du. 2021. ABoVE: Passive Microwave-derived Annual Snow Melt Duration Date Maps, 1988-2018. ORNL DAAC, Oak Ridge, Tennessee, USA. </w:t>
      </w:r>
      <w:hyperlink r:id="rId15" w:history="1">
        <w:r>
          <w:rPr>
            <w:rStyle w:val="Hyperlink"/>
            <w:rFonts w:ascii="Arial" w:hAnsi="Arial" w:cs="Arial"/>
            <w:color w:val="2276AC"/>
            <w:sz w:val="20"/>
            <w:szCs w:val="20"/>
          </w:rPr>
          <w:t>https://doi.org/10.3334/ORNLDAAC/1843</w:t>
        </w:r>
      </w:hyperlink>
    </w:p>
    <w:p w14:paraId="5A5CE05A" w14:textId="77777777" w:rsidR="009D0D0A" w:rsidRDefault="009D0D0A" w:rsidP="009D0D0A">
      <w:pPr>
        <w:pStyle w:val="NormalWeb"/>
        <w:spacing w:before="180" w:beforeAutospacing="0" w:after="180" w:afterAutospacing="0"/>
        <w:rPr>
          <w:rFonts w:ascii="Arial" w:hAnsi="Arial" w:cs="Arial"/>
          <w:color w:val="323232"/>
          <w:sz w:val="20"/>
          <w:szCs w:val="20"/>
        </w:rPr>
      </w:pPr>
      <w:proofErr w:type="spellStart"/>
      <w:r>
        <w:rPr>
          <w:rFonts w:ascii="Arial" w:hAnsi="Arial" w:cs="Arial"/>
          <w:color w:val="323232"/>
          <w:sz w:val="20"/>
          <w:szCs w:val="20"/>
        </w:rPr>
        <w:t>Verbyla</w:t>
      </w:r>
      <w:proofErr w:type="spellEnd"/>
      <w:r>
        <w:rPr>
          <w:rFonts w:ascii="Arial" w:hAnsi="Arial" w:cs="Arial"/>
          <w:color w:val="323232"/>
          <w:sz w:val="20"/>
          <w:szCs w:val="20"/>
        </w:rPr>
        <w:t>, D. 2017. ABoVE: Last Day of Spring Snow, Alaska, USA, and Yukon Territory, Canada, 2000-2016. ORNL DAAC, Oak Ridge, Tennessee, USA. </w:t>
      </w:r>
      <w:hyperlink r:id="rId16" w:history="1">
        <w:r>
          <w:rPr>
            <w:rStyle w:val="Hyperlink"/>
            <w:rFonts w:ascii="Arial" w:hAnsi="Arial" w:cs="Arial"/>
            <w:color w:val="2276AC"/>
            <w:sz w:val="20"/>
            <w:szCs w:val="20"/>
          </w:rPr>
          <w:t>https://doi.org/10.3334/ORNLDAAC/1528</w:t>
        </w:r>
      </w:hyperlink>
    </w:p>
    <w:p w14:paraId="3817B9C2"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Acknowledgments</w:t>
      </w:r>
    </w:p>
    <w:p w14:paraId="013E11E2" w14:textId="557AF9D2"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This project received support from NASA’s Arctic Boreal Vulnerability Experiment (Grant NNX15AT74A</w:t>
      </w:r>
      <w:r w:rsidR="000B28D5">
        <w:rPr>
          <w:rFonts w:ascii="Arial" w:hAnsi="Arial" w:cs="Arial"/>
          <w:color w:val="323232"/>
          <w:sz w:val="20"/>
          <w:szCs w:val="20"/>
        </w:rPr>
        <w:t xml:space="preserve">; </w:t>
      </w:r>
      <w:r w:rsidR="000B28D5" w:rsidRPr="00B734E9">
        <w:rPr>
          <w:rFonts w:ascii="Arial" w:hAnsi="Arial" w:cs="Arial"/>
          <w:color w:val="323232"/>
          <w:sz w:val="20"/>
          <w:szCs w:val="20"/>
        </w:rPr>
        <w:t>80NSSC22K1238</w:t>
      </w:r>
      <w:r>
        <w:rPr>
          <w:rFonts w:ascii="Arial" w:hAnsi="Arial" w:cs="Arial"/>
          <w:color w:val="323232"/>
          <w:sz w:val="20"/>
          <w:szCs w:val="20"/>
        </w:rPr>
        <w:t>)</w:t>
      </w:r>
      <w:r w:rsidR="00B734E9">
        <w:rPr>
          <w:rFonts w:ascii="Arial" w:hAnsi="Arial" w:cs="Arial"/>
          <w:color w:val="323232"/>
          <w:sz w:val="20"/>
          <w:szCs w:val="20"/>
        </w:rPr>
        <w:t xml:space="preserve"> and </w:t>
      </w:r>
      <w:r w:rsidR="00B734E9" w:rsidRPr="00B734E9">
        <w:rPr>
          <w:rFonts w:ascii="Arial" w:hAnsi="Arial" w:cs="Arial"/>
          <w:color w:val="323232"/>
          <w:sz w:val="20"/>
          <w:szCs w:val="20"/>
        </w:rPr>
        <w:t>the National Park Service, Southwest Alaska Inventory and Monitoring Network (P23AC01622-00)</w:t>
      </w:r>
      <w:r w:rsidR="00B734E9">
        <w:rPr>
          <w:rFonts w:ascii="Arial" w:hAnsi="Arial" w:cs="Arial"/>
          <w:color w:val="323232"/>
          <w:sz w:val="20"/>
          <w:szCs w:val="20"/>
        </w:rPr>
        <w:t>.</w:t>
      </w:r>
    </w:p>
    <w:p w14:paraId="4540CCBD" w14:textId="77777777" w:rsidR="009D0D0A" w:rsidRDefault="009D0D0A" w:rsidP="00C600AD">
      <w:pPr>
        <w:pStyle w:val="Heading2"/>
        <w:numPr>
          <w:ilvl w:val="0"/>
          <w:numId w:val="4"/>
        </w:numPr>
        <w:rPr>
          <w:rFonts w:ascii="Arial" w:hAnsi="Arial" w:cs="Arial"/>
          <w:color w:val="323232"/>
        </w:rPr>
      </w:pPr>
      <w:r>
        <w:rPr>
          <w:rFonts w:ascii="Arial" w:hAnsi="Arial" w:cs="Arial"/>
          <w:color w:val="323232"/>
        </w:rPr>
        <w:t>Data Characteristics</w:t>
      </w:r>
    </w:p>
    <w:p w14:paraId="61FB4CFF"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Spatial Coverage:</w:t>
      </w:r>
      <w:r>
        <w:rPr>
          <w:rFonts w:ascii="Arial" w:hAnsi="Arial" w:cs="Arial"/>
          <w:color w:val="323232"/>
          <w:sz w:val="20"/>
          <w:szCs w:val="20"/>
        </w:rPr>
        <w:t> Northwest Canada; Alaska, U.S.; and far eastern Russia</w:t>
      </w:r>
    </w:p>
    <w:p w14:paraId="00C5ABE1" w14:textId="77777777" w:rsidR="009D0D0A" w:rsidRDefault="009D0D0A" w:rsidP="009D0D0A">
      <w:pPr>
        <w:pStyle w:val="indent1"/>
        <w:spacing w:before="180" w:beforeAutospacing="0" w:after="180" w:afterAutospacing="0"/>
        <w:ind w:left="720"/>
        <w:rPr>
          <w:rFonts w:ascii="Arial" w:hAnsi="Arial" w:cs="Arial"/>
          <w:color w:val="323232"/>
          <w:sz w:val="20"/>
          <w:szCs w:val="20"/>
        </w:rPr>
      </w:pPr>
      <w:r>
        <w:rPr>
          <w:rStyle w:val="Strong"/>
          <w:rFonts w:ascii="Arial" w:hAnsi="Arial" w:cs="Arial"/>
          <w:color w:val="323232"/>
          <w:sz w:val="20"/>
          <w:szCs w:val="20"/>
        </w:rPr>
        <w:t>ABoVE Reference Locations</w:t>
      </w:r>
    </w:p>
    <w:p w14:paraId="3A5F9707" w14:textId="77777777" w:rsidR="009D0D0A" w:rsidRDefault="009D0D0A" w:rsidP="009D0D0A">
      <w:pPr>
        <w:pStyle w:val="indent1"/>
        <w:spacing w:before="180" w:beforeAutospacing="0" w:after="180" w:afterAutospacing="0"/>
        <w:ind w:left="720"/>
        <w:rPr>
          <w:rFonts w:ascii="Arial" w:hAnsi="Arial" w:cs="Arial"/>
          <w:color w:val="323232"/>
          <w:sz w:val="20"/>
          <w:szCs w:val="20"/>
        </w:rPr>
      </w:pPr>
      <w:r>
        <w:rPr>
          <w:rFonts w:ascii="Arial" w:hAnsi="Arial" w:cs="Arial"/>
          <w:color w:val="323232"/>
          <w:sz w:val="20"/>
          <w:szCs w:val="20"/>
        </w:rPr>
        <w:t>Domain: Core ABoVE</w:t>
      </w:r>
    </w:p>
    <w:p w14:paraId="0031BB8B" w14:textId="77777777" w:rsidR="009D0D0A" w:rsidRDefault="009D0D0A" w:rsidP="009D0D0A">
      <w:pPr>
        <w:pStyle w:val="indent1"/>
        <w:spacing w:before="180" w:beforeAutospacing="0" w:after="180" w:afterAutospacing="0"/>
        <w:ind w:left="720"/>
        <w:rPr>
          <w:rFonts w:ascii="Arial" w:hAnsi="Arial" w:cs="Arial"/>
          <w:color w:val="323232"/>
          <w:sz w:val="20"/>
          <w:szCs w:val="20"/>
        </w:rPr>
      </w:pPr>
      <w:r>
        <w:rPr>
          <w:rFonts w:ascii="Arial" w:hAnsi="Arial" w:cs="Arial"/>
          <w:color w:val="323232"/>
          <w:sz w:val="20"/>
          <w:szCs w:val="20"/>
        </w:rPr>
        <w:t>Grid cells: Ah000-001v000-001</w:t>
      </w:r>
    </w:p>
    <w:p w14:paraId="0EF473D4"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Spatial Resolution:</w:t>
      </w:r>
      <w:r>
        <w:rPr>
          <w:rFonts w:ascii="Arial" w:hAnsi="Arial" w:cs="Arial"/>
          <w:color w:val="323232"/>
          <w:sz w:val="20"/>
          <w:szCs w:val="20"/>
        </w:rPr>
        <w:t> Approximately 6.25 km</w:t>
      </w:r>
    </w:p>
    <w:p w14:paraId="530C4590" w14:textId="55D7DC5A"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Temporal Coverage:</w:t>
      </w:r>
      <w:r>
        <w:rPr>
          <w:rFonts w:ascii="Arial" w:hAnsi="Arial" w:cs="Arial"/>
          <w:color w:val="323232"/>
          <w:sz w:val="20"/>
          <w:szCs w:val="20"/>
        </w:rPr>
        <w:t> 1988-01-01 to 20</w:t>
      </w:r>
      <w:r w:rsidR="00E17245">
        <w:rPr>
          <w:rFonts w:ascii="Arial" w:hAnsi="Arial" w:cs="Arial"/>
          <w:color w:val="323232"/>
          <w:sz w:val="20"/>
          <w:szCs w:val="20"/>
        </w:rPr>
        <w:t>23</w:t>
      </w:r>
      <w:r>
        <w:rPr>
          <w:rFonts w:ascii="Arial" w:hAnsi="Arial" w:cs="Arial"/>
          <w:color w:val="323232"/>
          <w:sz w:val="20"/>
          <w:szCs w:val="20"/>
        </w:rPr>
        <w:t>-12-31</w:t>
      </w:r>
    </w:p>
    <w:p w14:paraId="18D57A57"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Temporal Resolution:</w:t>
      </w:r>
      <w:r>
        <w:rPr>
          <w:rFonts w:ascii="Arial" w:hAnsi="Arial" w:cs="Arial"/>
          <w:color w:val="323232"/>
          <w:sz w:val="20"/>
          <w:szCs w:val="20"/>
        </w:rPr>
        <w:t> Annual</w:t>
      </w:r>
    </w:p>
    <w:p w14:paraId="50C31D2B"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Site Boundaries:</w:t>
      </w:r>
      <w:r>
        <w:rPr>
          <w:rFonts w:ascii="Arial" w:hAnsi="Arial" w:cs="Arial"/>
          <w:color w:val="323232"/>
          <w:sz w:val="20"/>
          <w:szCs w:val="20"/>
        </w:rPr>
        <w:t> Latitude and longitude are given in decimal degrees.</w:t>
      </w:r>
    </w:p>
    <w:tbl>
      <w:tblPr>
        <w:tblW w:w="10150" w:type="dxa"/>
        <w:tblBorders>
          <w:top w:val="single" w:sz="6" w:space="0" w:color="323232"/>
          <w:left w:val="single" w:sz="6" w:space="0" w:color="323232"/>
          <w:bottom w:val="single" w:sz="6" w:space="0" w:color="323232"/>
          <w:right w:val="single" w:sz="6" w:space="0" w:color="323232"/>
        </w:tblBorders>
        <w:shd w:val="clear" w:color="auto" w:fill="FFFFFF"/>
        <w:tblCellMar>
          <w:top w:w="12" w:type="dxa"/>
          <w:left w:w="12" w:type="dxa"/>
          <w:bottom w:w="12" w:type="dxa"/>
          <w:right w:w="12" w:type="dxa"/>
        </w:tblCellMar>
        <w:tblLook w:val="04A0" w:firstRow="1" w:lastRow="0" w:firstColumn="1" w:lastColumn="0" w:noHBand="0" w:noVBand="1"/>
      </w:tblPr>
      <w:tblGrid>
        <w:gridCol w:w="2496"/>
        <w:gridCol w:w="1933"/>
        <w:gridCol w:w="1830"/>
        <w:gridCol w:w="1946"/>
        <w:gridCol w:w="1945"/>
      </w:tblGrid>
      <w:tr w:rsidR="009D0D0A" w14:paraId="0046AE57" w14:textId="77777777" w:rsidTr="00E17245">
        <w:trPr>
          <w:trHeight w:val="512"/>
          <w:tblHeader/>
        </w:trPr>
        <w:tc>
          <w:tcPr>
            <w:tcW w:w="0" w:type="auto"/>
            <w:tcBorders>
              <w:top w:val="single" w:sz="6" w:space="0" w:color="989898"/>
              <w:left w:val="single" w:sz="6" w:space="0" w:color="989898"/>
              <w:bottom w:val="single" w:sz="6" w:space="0" w:color="989898"/>
              <w:right w:val="single" w:sz="6" w:space="0" w:color="989898"/>
            </w:tcBorders>
            <w:shd w:val="clear" w:color="auto" w:fill="CBCBCB"/>
            <w:tcMar>
              <w:top w:w="120" w:type="dxa"/>
              <w:left w:w="120" w:type="dxa"/>
              <w:bottom w:w="120" w:type="dxa"/>
              <w:right w:w="120" w:type="dxa"/>
            </w:tcMar>
            <w:vAlign w:val="center"/>
            <w:hideMark/>
          </w:tcPr>
          <w:p w14:paraId="6842D1FC" w14:textId="77777777" w:rsidR="009D0D0A" w:rsidRDefault="009D0D0A">
            <w:pPr>
              <w:rPr>
                <w:rFonts w:ascii="Times New Roman" w:hAnsi="Times New Roman" w:cs="Times New Roman"/>
                <w:b/>
                <w:bCs/>
              </w:rPr>
            </w:pPr>
            <w:r>
              <w:rPr>
                <w:b/>
                <w:bCs/>
              </w:rPr>
              <w:t>Site</w:t>
            </w:r>
          </w:p>
        </w:tc>
        <w:tc>
          <w:tcPr>
            <w:tcW w:w="0" w:type="auto"/>
            <w:tcBorders>
              <w:top w:val="single" w:sz="6" w:space="0" w:color="989898"/>
              <w:left w:val="single" w:sz="6" w:space="0" w:color="989898"/>
              <w:bottom w:val="single" w:sz="6" w:space="0" w:color="989898"/>
              <w:right w:val="single" w:sz="6" w:space="0" w:color="989898"/>
            </w:tcBorders>
            <w:shd w:val="clear" w:color="auto" w:fill="CBCBCB"/>
            <w:tcMar>
              <w:top w:w="120" w:type="dxa"/>
              <w:left w:w="120" w:type="dxa"/>
              <w:bottom w:w="120" w:type="dxa"/>
              <w:right w:w="120" w:type="dxa"/>
            </w:tcMar>
            <w:vAlign w:val="center"/>
            <w:hideMark/>
          </w:tcPr>
          <w:p w14:paraId="667EA8CE" w14:textId="77777777" w:rsidR="009D0D0A" w:rsidRDefault="009D0D0A">
            <w:pPr>
              <w:rPr>
                <w:b/>
                <w:bCs/>
              </w:rPr>
            </w:pPr>
            <w:r>
              <w:rPr>
                <w:b/>
                <w:bCs/>
              </w:rPr>
              <w:t>Westernmost Longitude</w:t>
            </w:r>
          </w:p>
        </w:tc>
        <w:tc>
          <w:tcPr>
            <w:tcW w:w="0" w:type="auto"/>
            <w:tcBorders>
              <w:top w:val="single" w:sz="6" w:space="0" w:color="989898"/>
              <w:left w:val="single" w:sz="6" w:space="0" w:color="989898"/>
              <w:bottom w:val="single" w:sz="6" w:space="0" w:color="989898"/>
              <w:right w:val="single" w:sz="6" w:space="0" w:color="989898"/>
            </w:tcBorders>
            <w:shd w:val="clear" w:color="auto" w:fill="CBCBCB"/>
            <w:tcMar>
              <w:top w:w="120" w:type="dxa"/>
              <w:left w:w="120" w:type="dxa"/>
              <w:bottom w:w="120" w:type="dxa"/>
              <w:right w:w="120" w:type="dxa"/>
            </w:tcMar>
            <w:vAlign w:val="center"/>
            <w:hideMark/>
          </w:tcPr>
          <w:p w14:paraId="241ED522" w14:textId="77777777" w:rsidR="009D0D0A" w:rsidRDefault="009D0D0A">
            <w:pPr>
              <w:rPr>
                <w:b/>
                <w:bCs/>
              </w:rPr>
            </w:pPr>
            <w:r>
              <w:rPr>
                <w:b/>
                <w:bCs/>
              </w:rPr>
              <w:t>Easternmost Longitude</w:t>
            </w:r>
          </w:p>
        </w:tc>
        <w:tc>
          <w:tcPr>
            <w:tcW w:w="0" w:type="auto"/>
            <w:tcBorders>
              <w:top w:val="single" w:sz="6" w:space="0" w:color="989898"/>
              <w:left w:val="single" w:sz="6" w:space="0" w:color="989898"/>
              <w:bottom w:val="single" w:sz="6" w:space="0" w:color="989898"/>
              <w:right w:val="single" w:sz="6" w:space="0" w:color="989898"/>
            </w:tcBorders>
            <w:shd w:val="clear" w:color="auto" w:fill="CBCBCB"/>
            <w:tcMar>
              <w:top w:w="120" w:type="dxa"/>
              <w:left w:w="120" w:type="dxa"/>
              <w:bottom w:w="120" w:type="dxa"/>
              <w:right w:w="120" w:type="dxa"/>
            </w:tcMar>
            <w:vAlign w:val="center"/>
            <w:hideMark/>
          </w:tcPr>
          <w:p w14:paraId="4DE33B37" w14:textId="77777777" w:rsidR="009D0D0A" w:rsidRDefault="009D0D0A">
            <w:pPr>
              <w:rPr>
                <w:b/>
                <w:bCs/>
              </w:rPr>
            </w:pPr>
            <w:r>
              <w:rPr>
                <w:b/>
                <w:bCs/>
              </w:rPr>
              <w:t>Northernmost Latitude</w:t>
            </w:r>
          </w:p>
        </w:tc>
        <w:tc>
          <w:tcPr>
            <w:tcW w:w="0" w:type="auto"/>
            <w:tcBorders>
              <w:top w:val="single" w:sz="6" w:space="0" w:color="989898"/>
              <w:left w:val="single" w:sz="6" w:space="0" w:color="989898"/>
              <w:bottom w:val="single" w:sz="6" w:space="0" w:color="989898"/>
              <w:right w:val="single" w:sz="6" w:space="0" w:color="989898"/>
            </w:tcBorders>
            <w:shd w:val="clear" w:color="auto" w:fill="CBCBCB"/>
            <w:tcMar>
              <w:top w:w="120" w:type="dxa"/>
              <w:left w:w="120" w:type="dxa"/>
              <w:bottom w:w="120" w:type="dxa"/>
              <w:right w:w="120" w:type="dxa"/>
            </w:tcMar>
            <w:vAlign w:val="center"/>
            <w:hideMark/>
          </w:tcPr>
          <w:p w14:paraId="216379DC" w14:textId="77777777" w:rsidR="009D0D0A" w:rsidRDefault="009D0D0A">
            <w:pPr>
              <w:rPr>
                <w:b/>
                <w:bCs/>
              </w:rPr>
            </w:pPr>
            <w:r>
              <w:rPr>
                <w:b/>
                <w:bCs/>
              </w:rPr>
              <w:t>Southernmost Latitude</w:t>
            </w:r>
          </w:p>
        </w:tc>
      </w:tr>
      <w:tr w:rsidR="009D0D0A" w14:paraId="74E629A5" w14:textId="77777777" w:rsidTr="00E17245">
        <w:trPr>
          <w:trHeight w:val="512"/>
        </w:trPr>
        <w:tc>
          <w:tcPr>
            <w:tcW w:w="0" w:type="auto"/>
            <w:tcBorders>
              <w:top w:val="single" w:sz="6" w:space="0" w:color="989898"/>
              <w:left w:val="single" w:sz="6" w:space="0" w:color="989898"/>
              <w:bottom w:val="single" w:sz="6" w:space="0" w:color="989898"/>
              <w:right w:val="single" w:sz="6" w:space="0" w:color="989898"/>
            </w:tcBorders>
            <w:shd w:val="clear" w:color="auto" w:fill="FFFFFF"/>
            <w:tcMar>
              <w:top w:w="120" w:type="dxa"/>
              <w:left w:w="120" w:type="dxa"/>
              <w:bottom w:w="120" w:type="dxa"/>
              <w:right w:w="120" w:type="dxa"/>
            </w:tcMar>
            <w:vAlign w:val="center"/>
            <w:hideMark/>
          </w:tcPr>
          <w:p w14:paraId="329AE2AC" w14:textId="77777777" w:rsidR="009D0D0A" w:rsidRDefault="009D0D0A">
            <w:r>
              <w:t>Northwest Canada, Alaska, and far eastern Russia</w:t>
            </w:r>
          </w:p>
        </w:tc>
        <w:tc>
          <w:tcPr>
            <w:tcW w:w="0" w:type="auto"/>
            <w:tcBorders>
              <w:top w:val="single" w:sz="6" w:space="0" w:color="989898"/>
              <w:left w:val="single" w:sz="6" w:space="0" w:color="989898"/>
              <w:bottom w:val="single" w:sz="6" w:space="0" w:color="989898"/>
              <w:right w:val="single" w:sz="6" w:space="0" w:color="989898"/>
            </w:tcBorders>
            <w:shd w:val="clear" w:color="auto" w:fill="FFFFFF"/>
            <w:tcMar>
              <w:top w:w="120" w:type="dxa"/>
              <w:left w:w="120" w:type="dxa"/>
              <w:bottom w:w="120" w:type="dxa"/>
              <w:right w:w="120" w:type="dxa"/>
            </w:tcMar>
            <w:vAlign w:val="center"/>
            <w:hideMark/>
          </w:tcPr>
          <w:p w14:paraId="7AF6BA9F" w14:textId="77777777" w:rsidR="009D0D0A" w:rsidRDefault="009D0D0A">
            <w:r>
              <w:t>171.5</w:t>
            </w:r>
          </w:p>
        </w:tc>
        <w:tc>
          <w:tcPr>
            <w:tcW w:w="0" w:type="auto"/>
            <w:tcBorders>
              <w:top w:val="single" w:sz="6" w:space="0" w:color="989898"/>
              <w:left w:val="single" w:sz="6" w:space="0" w:color="989898"/>
              <w:bottom w:val="single" w:sz="6" w:space="0" w:color="989898"/>
              <w:right w:val="single" w:sz="6" w:space="0" w:color="989898"/>
            </w:tcBorders>
            <w:shd w:val="clear" w:color="auto" w:fill="FFFFFF"/>
            <w:tcMar>
              <w:top w:w="120" w:type="dxa"/>
              <w:left w:w="120" w:type="dxa"/>
              <w:bottom w:w="120" w:type="dxa"/>
              <w:right w:w="120" w:type="dxa"/>
            </w:tcMar>
            <w:vAlign w:val="center"/>
            <w:hideMark/>
          </w:tcPr>
          <w:p w14:paraId="666261B1" w14:textId="77777777" w:rsidR="009D0D0A" w:rsidRDefault="009D0D0A">
            <w:r>
              <w:t>-107.8</w:t>
            </w:r>
          </w:p>
        </w:tc>
        <w:tc>
          <w:tcPr>
            <w:tcW w:w="0" w:type="auto"/>
            <w:tcBorders>
              <w:top w:val="single" w:sz="6" w:space="0" w:color="989898"/>
              <w:left w:val="single" w:sz="6" w:space="0" w:color="989898"/>
              <w:bottom w:val="single" w:sz="6" w:space="0" w:color="989898"/>
              <w:right w:val="single" w:sz="6" w:space="0" w:color="989898"/>
            </w:tcBorders>
            <w:shd w:val="clear" w:color="auto" w:fill="FFFFFF"/>
            <w:tcMar>
              <w:top w:w="120" w:type="dxa"/>
              <w:left w:w="120" w:type="dxa"/>
              <w:bottom w:w="120" w:type="dxa"/>
              <w:right w:w="120" w:type="dxa"/>
            </w:tcMar>
            <w:vAlign w:val="center"/>
            <w:hideMark/>
          </w:tcPr>
          <w:p w14:paraId="674AADEC" w14:textId="77777777" w:rsidR="009D0D0A" w:rsidRDefault="009D0D0A">
            <w:r>
              <w:t>72.41</w:t>
            </w:r>
          </w:p>
        </w:tc>
        <w:tc>
          <w:tcPr>
            <w:tcW w:w="0" w:type="auto"/>
            <w:tcBorders>
              <w:top w:val="single" w:sz="6" w:space="0" w:color="989898"/>
              <w:left w:val="single" w:sz="6" w:space="0" w:color="989898"/>
              <w:bottom w:val="single" w:sz="6" w:space="0" w:color="989898"/>
              <w:right w:val="single" w:sz="6" w:space="0" w:color="989898"/>
            </w:tcBorders>
            <w:shd w:val="clear" w:color="auto" w:fill="FFFFFF"/>
            <w:tcMar>
              <w:top w:w="120" w:type="dxa"/>
              <w:left w:w="120" w:type="dxa"/>
              <w:bottom w:w="120" w:type="dxa"/>
              <w:right w:w="120" w:type="dxa"/>
            </w:tcMar>
            <w:vAlign w:val="center"/>
            <w:hideMark/>
          </w:tcPr>
          <w:p w14:paraId="36FF22C8" w14:textId="77777777" w:rsidR="009D0D0A" w:rsidRDefault="009D0D0A">
            <w:r>
              <w:t>51.61</w:t>
            </w:r>
          </w:p>
        </w:tc>
      </w:tr>
    </w:tbl>
    <w:p w14:paraId="3CD89AB9"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User Note</w:t>
      </w:r>
      <w:r>
        <w:rPr>
          <w:rFonts w:ascii="Arial" w:hAnsi="Arial" w:cs="Arial"/>
          <w:color w:val="323232"/>
          <w:sz w:val="20"/>
          <w:szCs w:val="20"/>
        </w:rPr>
        <w:t>: This dataset extends from Canada westward across the 180-degree anti-meridian into eastern Russia.</w:t>
      </w:r>
    </w:p>
    <w:p w14:paraId="5CB487BE"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Data File Information</w:t>
      </w:r>
    </w:p>
    <w:p w14:paraId="14C86A61" w14:textId="34D56BF0"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This dataset includes</w:t>
      </w:r>
      <w:r w:rsidR="00E17245">
        <w:rPr>
          <w:rFonts w:ascii="Arial" w:hAnsi="Arial" w:cs="Arial"/>
          <w:color w:val="323232"/>
          <w:sz w:val="20"/>
          <w:szCs w:val="20"/>
        </w:rPr>
        <w:t xml:space="preserve"> 37 </w:t>
      </w:r>
      <w:r>
        <w:rPr>
          <w:rFonts w:ascii="Arial" w:hAnsi="Arial" w:cs="Arial"/>
          <w:color w:val="323232"/>
          <w:sz w:val="20"/>
          <w:szCs w:val="20"/>
        </w:rPr>
        <w:t xml:space="preserve">files in </w:t>
      </w:r>
      <w:proofErr w:type="spellStart"/>
      <w:r>
        <w:rPr>
          <w:rFonts w:ascii="Arial" w:hAnsi="Arial" w:cs="Arial"/>
          <w:color w:val="323232"/>
          <w:sz w:val="20"/>
          <w:szCs w:val="20"/>
        </w:rPr>
        <w:t>GeoTIFF</w:t>
      </w:r>
      <w:proofErr w:type="spellEnd"/>
      <w:r>
        <w:rPr>
          <w:rFonts w:ascii="Arial" w:hAnsi="Arial" w:cs="Arial"/>
          <w:color w:val="323232"/>
          <w:sz w:val="20"/>
          <w:szCs w:val="20"/>
        </w:rPr>
        <w:t xml:space="preserve"> (*.</w:t>
      </w:r>
      <w:proofErr w:type="spellStart"/>
      <w:r>
        <w:rPr>
          <w:rFonts w:ascii="Arial" w:hAnsi="Arial" w:cs="Arial"/>
          <w:color w:val="323232"/>
          <w:sz w:val="20"/>
          <w:szCs w:val="20"/>
        </w:rPr>
        <w:t>tif</w:t>
      </w:r>
      <w:proofErr w:type="spellEnd"/>
      <w:r>
        <w:rPr>
          <w:rFonts w:ascii="Arial" w:hAnsi="Arial" w:cs="Arial"/>
          <w:color w:val="323232"/>
          <w:sz w:val="20"/>
          <w:szCs w:val="20"/>
        </w:rPr>
        <w:t>) format. The data from 1988-2016 included a coastal mask removing coastal pixels due to potential water contamination from coarse brightness temperature observations (</w:t>
      </w:r>
      <w:proofErr w:type="spellStart"/>
      <w:r>
        <w:rPr>
          <w:rFonts w:ascii="Arial" w:hAnsi="Arial" w:cs="Arial"/>
          <w:color w:val="323232"/>
          <w:sz w:val="20"/>
          <w:szCs w:val="20"/>
        </w:rPr>
        <w:t>Dersken</w:t>
      </w:r>
      <w:proofErr w:type="spellEnd"/>
      <w:r>
        <w:rPr>
          <w:rFonts w:ascii="Arial" w:hAnsi="Arial" w:cs="Arial"/>
          <w:color w:val="323232"/>
          <w:sz w:val="20"/>
          <w:szCs w:val="20"/>
        </w:rPr>
        <w:t xml:space="preserve"> et al., 2012). </w:t>
      </w:r>
      <w:r w:rsidR="00B54336">
        <w:rPr>
          <w:rFonts w:ascii="Arial" w:hAnsi="Arial" w:cs="Arial"/>
          <w:color w:val="323232"/>
          <w:sz w:val="20"/>
          <w:szCs w:val="20"/>
        </w:rPr>
        <w:t>No</w:t>
      </w:r>
      <w:r>
        <w:rPr>
          <w:rFonts w:ascii="Arial" w:hAnsi="Arial" w:cs="Arial"/>
          <w:color w:val="323232"/>
          <w:sz w:val="20"/>
          <w:szCs w:val="20"/>
        </w:rPr>
        <w:t xml:space="preserve"> coastal mask </w:t>
      </w:r>
      <w:r w:rsidR="00B54336">
        <w:rPr>
          <w:rFonts w:ascii="Arial" w:hAnsi="Arial" w:cs="Arial"/>
          <w:color w:val="323232"/>
          <w:sz w:val="20"/>
          <w:szCs w:val="20"/>
        </w:rPr>
        <w:t xml:space="preserve">was used </w:t>
      </w:r>
      <w:r>
        <w:rPr>
          <w:rFonts w:ascii="Arial" w:hAnsi="Arial" w:cs="Arial"/>
          <w:color w:val="323232"/>
          <w:sz w:val="20"/>
          <w:szCs w:val="20"/>
        </w:rPr>
        <w:t>for the 2017-20</w:t>
      </w:r>
      <w:r w:rsidR="00E17245">
        <w:rPr>
          <w:rFonts w:ascii="Arial" w:hAnsi="Arial" w:cs="Arial"/>
          <w:color w:val="323232"/>
          <w:sz w:val="20"/>
          <w:szCs w:val="20"/>
        </w:rPr>
        <w:t>23</w:t>
      </w:r>
      <w:r>
        <w:rPr>
          <w:rFonts w:ascii="Arial" w:hAnsi="Arial" w:cs="Arial"/>
          <w:color w:val="323232"/>
          <w:sz w:val="20"/>
          <w:szCs w:val="20"/>
        </w:rPr>
        <w:t xml:space="preserve"> data. The full data are included, and data users should be aware that coastal values can be adversely affected by adjacent water bodies. </w:t>
      </w:r>
      <w:r w:rsidR="00B54336">
        <w:rPr>
          <w:rFonts w:ascii="Arial" w:hAnsi="Arial" w:cs="Arial"/>
          <w:color w:val="323232"/>
          <w:sz w:val="20"/>
          <w:szCs w:val="20"/>
        </w:rPr>
        <w:t xml:space="preserve">A fractional water mask is included to help identify expected low quality data grid cells affected by surface water contamination. </w:t>
      </w:r>
      <w:r>
        <w:rPr>
          <w:rFonts w:ascii="Arial" w:hAnsi="Arial" w:cs="Arial"/>
          <w:color w:val="323232"/>
          <w:sz w:val="20"/>
          <w:szCs w:val="20"/>
        </w:rPr>
        <w:t>Most files use the naming convention ABoVE.MMOD.YYYYAh000-001v000-001.001.tif, where</w:t>
      </w:r>
    </w:p>
    <w:p w14:paraId="67A5C35C" w14:textId="77777777" w:rsidR="009D0D0A" w:rsidRDefault="009D0D0A" w:rsidP="009D0D0A">
      <w:pPr>
        <w:numPr>
          <w:ilvl w:val="0"/>
          <w:numId w:val="2"/>
        </w:numPr>
        <w:spacing w:before="100" w:beforeAutospacing="1" w:after="100" w:afterAutospacing="1"/>
        <w:rPr>
          <w:rFonts w:ascii="Arial" w:hAnsi="Arial" w:cs="Arial"/>
          <w:color w:val="323232"/>
          <w:sz w:val="20"/>
          <w:szCs w:val="20"/>
        </w:rPr>
      </w:pPr>
      <w:proofErr w:type="spellStart"/>
      <w:r>
        <w:rPr>
          <w:rFonts w:ascii="Arial" w:hAnsi="Arial" w:cs="Arial"/>
          <w:color w:val="323232"/>
          <w:sz w:val="20"/>
          <w:szCs w:val="20"/>
        </w:rPr>
        <w:t>ABoVE.MMOD</w:t>
      </w:r>
      <w:proofErr w:type="spellEnd"/>
      <w:r>
        <w:rPr>
          <w:rFonts w:ascii="Arial" w:hAnsi="Arial" w:cs="Arial"/>
          <w:color w:val="323232"/>
          <w:sz w:val="20"/>
          <w:szCs w:val="20"/>
        </w:rPr>
        <w:t xml:space="preserve"> is the annual estimated main melt onset date for this ABoVE dataset,</w:t>
      </w:r>
    </w:p>
    <w:p w14:paraId="5D447C22" w14:textId="77777777" w:rsidR="009D0D0A" w:rsidRDefault="009D0D0A" w:rsidP="009D0D0A">
      <w:pPr>
        <w:numPr>
          <w:ilvl w:val="0"/>
          <w:numId w:val="2"/>
        </w:numPr>
        <w:spacing w:before="100" w:beforeAutospacing="1" w:after="100" w:afterAutospacing="1"/>
        <w:rPr>
          <w:rFonts w:ascii="Arial" w:hAnsi="Arial" w:cs="Arial"/>
          <w:color w:val="323232"/>
          <w:sz w:val="20"/>
          <w:szCs w:val="20"/>
        </w:rPr>
      </w:pPr>
      <w:r>
        <w:rPr>
          <w:rFonts w:ascii="Arial" w:hAnsi="Arial" w:cs="Arial"/>
          <w:color w:val="323232"/>
          <w:sz w:val="20"/>
          <w:szCs w:val="20"/>
        </w:rPr>
        <w:t>YYYY is the year of observation,</w:t>
      </w:r>
    </w:p>
    <w:p w14:paraId="275B0AC8" w14:textId="77777777" w:rsidR="009D0D0A" w:rsidRDefault="009D0D0A" w:rsidP="009D0D0A">
      <w:pPr>
        <w:numPr>
          <w:ilvl w:val="0"/>
          <w:numId w:val="2"/>
        </w:numPr>
        <w:spacing w:before="100" w:beforeAutospacing="1" w:after="100" w:afterAutospacing="1"/>
        <w:rPr>
          <w:rFonts w:ascii="Arial" w:hAnsi="Arial" w:cs="Arial"/>
          <w:color w:val="323232"/>
          <w:sz w:val="20"/>
          <w:szCs w:val="20"/>
        </w:rPr>
      </w:pPr>
      <w:r>
        <w:rPr>
          <w:rFonts w:ascii="Arial" w:hAnsi="Arial" w:cs="Arial"/>
          <w:color w:val="323232"/>
          <w:sz w:val="20"/>
          <w:szCs w:val="20"/>
        </w:rPr>
        <w:t>Ah000-001v000-001 is the ABoVE reference grid, and</w:t>
      </w:r>
    </w:p>
    <w:p w14:paraId="6AB959BE" w14:textId="785A7B5D" w:rsidR="009D0D0A" w:rsidRDefault="009D0D0A" w:rsidP="009D0D0A">
      <w:pPr>
        <w:numPr>
          <w:ilvl w:val="0"/>
          <w:numId w:val="2"/>
        </w:numPr>
        <w:spacing w:before="100" w:beforeAutospacing="1" w:after="100" w:afterAutospacing="1"/>
        <w:rPr>
          <w:rFonts w:ascii="Arial" w:hAnsi="Arial" w:cs="Arial"/>
          <w:color w:val="323232"/>
          <w:sz w:val="20"/>
          <w:szCs w:val="20"/>
        </w:rPr>
      </w:pPr>
      <w:r>
        <w:rPr>
          <w:rFonts w:ascii="Arial" w:hAnsi="Arial" w:cs="Arial"/>
          <w:color w:val="323232"/>
          <w:sz w:val="20"/>
          <w:szCs w:val="20"/>
        </w:rPr>
        <w:t>.001 is the data product version.</w:t>
      </w:r>
    </w:p>
    <w:p w14:paraId="423B8882" w14:textId="77777777" w:rsidR="00925018" w:rsidRDefault="00925018" w:rsidP="00925018">
      <w:pPr>
        <w:spacing w:before="100" w:beforeAutospacing="1" w:after="100" w:afterAutospacing="1"/>
        <w:ind w:left="720"/>
        <w:rPr>
          <w:rFonts w:ascii="Arial" w:hAnsi="Arial" w:cs="Arial"/>
          <w:color w:val="323232"/>
          <w:sz w:val="20"/>
          <w:szCs w:val="20"/>
        </w:rPr>
      </w:pPr>
    </w:p>
    <w:p w14:paraId="63B4CBFA"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Table 1. File names and descriptions.</w:t>
      </w:r>
    </w:p>
    <w:tbl>
      <w:tblPr>
        <w:tblW w:w="8722" w:type="dxa"/>
        <w:tblBorders>
          <w:top w:val="single" w:sz="6" w:space="0" w:color="323232"/>
          <w:left w:val="single" w:sz="6" w:space="0" w:color="323232"/>
          <w:bottom w:val="single" w:sz="6" w:space="0" w:color="323232"/>
          <w:right w:val="single" w:sz="6" w:space="0" w:color="323232"/>
        </w:tblBorders>
        <w:shd w:val="clear" w:color="auto" w:fill="FFFFFF"/>
        <w:tblCellMar>
          <w:top w:w="12" w:type="dxa"/>
          <w:left w:w="12" w:type="dxa"/>
          <w:bottom w:w="12" w:type="dxa"/>
          <w:right w:w="12" w:type="dxa"/>
        </w:tblCellMar>
        <w:tblLook w:val="04A0" w:firstRow="1" w:lastRow="0" w:firstColumn="1" w:lastColumn="0" w:noHBand="0" w:noVBand="1"/>
      </w:tblPr>
      <w:tblGrid>
        <w:gridCol w:w="3343"/>
        <w:gridCol w:w="1006"/>
        <w:gridCol w:w="4373"/>
      </w:tblGrid>
      <w:tr w:rsidR="009D0D0A" w14:paraId="5350C4FB" w14:textId="77777777" w:rsidTr="00E17245">
        <w:trPr>
          <w:trHeight w:val="270"/>
          <w:tblHeader/>
        </w:trPr>
        <w:tc>
          <w:tcPr>
            <w:tcW w:w="0" w:type="auto"/>
            <w:tcBorders>
              <w:top w:val="single" w:sz="6" w:space="0" w:color="989898"/>
              <w:left w:val="single" w:sz="6" w:space="0" w:color="989898"/>
              <w:bottom w:val="single" w:sz="6" w:space="0" w:color="989898"/>
              <w:right w:val="single" w:sz="6" w:space="0" w:color="989898"/>
            </w:tcBorders>
            <w:shd w:val="clear" w:color="auto" w:fill="CBCBCB"/>
            <w:tcMar>
              <w:top w:w="120" w:type="dxa"/>
              <w:left w:w="120" w:type="dxa"/>
              <w:bottom w:w="120" w:type="dxa"/>
              <w:right w:w="120" w:type="dxa"/>
            </w:tcMar>
            <w:vAlign w:val="center"/>
            <w:hideMark/>
          </w:tcPr>
          <w:p w14:paraId="2A021CA0" w14:textId="77777777" w:rsidR="009D0D0A" w:rsidRDefault="009D0D0A">
            <w:pPr>
              <w:rPr>
                <w:rFonts w:ascii="Times New Roman" w:hAnsi="Times New Roman" w:cs="Times New Roman"/>
                <w:b/>
                <w:bCs/>
              </w:rPr>
            </w:pPr>
            <w:r>
              <w:rPr>
                <w:b/>
                <w:bCs/>
              </w:rPr>
              <w:t>File Name</w:t>
            </w:r>
          </w:p>
        </w:tc>
        <w:tc>
          <w:tcPr>
            <w:tcW w:w="0" w:type="auto"/>
            <w:tcBorders>
              <w:top w:val="single" w:sz="6" w:space="0" w:color="989898"/>
              <w:left w:val="single" w:sz="6" w:space="0" w:color="989898"/>
              <w:bottom w:val="single" w:sz="6" w:space="0" w:color="989898"/>
              <w:right w:val="single" w:sz="6" w:space="0" w:color="989898"/>
            </w:tcBorders>
            <w:shd w:val="clear" w:color="auto" w:fill="CBCBCB"/>
            <w:tcMar>
              <w:top w:w="120" w:type="dxa"/>
              <w:left w:w="120" w:type="dxa"/>
              <w:bottom w:w="120" w:type="dxa"/>
              <w:right w:w="120" w:type="dxa"/>
            </w:tcMar>
            <w:vAlign w:val="center"/>
            <w:hideMark/>
          </w:tcPr>
          <w:p w14:paraId="2E10E1B2" w14:textId="77777777" w:rsidR="009D0D0A" w:rsidRDefault="009D0D0A">
            <w:pPr>
              <w:rPr>
                <w:b/>
                <w:bCs/>
              </w:rPr>
            </w:pPr>
            <w:r>
              <w:rPr>
                <w:b/>
                <w:bCs/>
              </w:rPr>
              <w:t>Units</w:t>
            </w:r>
          </w:p>
        </w:tc>
        <w:tc>
          <w:tcPr>
            <w:tcW w:w="4373" w:type="dxa"/>
            <w:tcBorders>
              <w:top w:val="single" w:sz="6" w:space="0" w:color="989898"/>
              <w:left w:val="single" w:sz="6" w:space="0" w:color="989898"/>
              <w:bottom w:val="single" w:sz="6" w:space="0" w:color="989898"/>
              <w:right w:val="single" w:sz="6" w:space="0" w:color="989898"/>
            </w:tcBorders>
            <w:shd w:val="clear" w:color="auto" w:fill="CBCBCB"/>
            <w:tcMar>
              <w:top w:w="120" w:type="dxa"/>
              <w:left w:w="120" w:type="dxa"/>
              <w:bottom w:w="120" w:type="dxa"/>
              <w:right w:w="120" w:type="dxa"/>
            </w:tcMar>
            <w:vAlign w:val="center"/>
            <w:hideMark/>
          </w:tcPr>
          <w:p w14:paraId="58AF2CA6" w14:textId="77777777" w:rsidR="009D0D0A" w:rsidRDefault="009D0D0A">
            <w:pPr>
              <w:rPr>
                <w:b/>
                <w:bCs/>
              </w:rPr>
            </w:pPr>
            <w:r>
              <w:rPr>
                <w:b/>
                <w:bCs/>
              </w:rPr>
              <w:t>Description</w:t>
            </w:r>
          </w:p>
        </w:tc>
      </w:tr>
      <w:tr w:rsidR="009D0D0A" w14:paraId="0E0878F8" w14:textId="77777777" w:rsidTr="00E17245">
        <w:trPr>
          <w:trHeight w:val="1069"/>
        </w:trPr>
        <w:tc>
          <w:tcPr>
            <w:tcW w:w="0" w:type="auto"/>
            <w:tcBorders>
              <w:top w:val="single" w:sz="6" w:space="0" w:color="989898"/>
              <w:left w:val="single" w:sz="6" w:space="0" w:color="989898"/>
              <w:bottom w:val="single" w:sz="6" w:space="0" w:color="989898"/>
              <w:right w:val="single" w:sz="6" w:space="0" w:color="989898"/>
            </w:tcBorders>
            <w:shd w:val="clear" w:color="auto" w:fill="FFFFFF"/>
            <w:tcMar>
              <w:top w:w="120" w:type="dxa"/>
              <w:left w:w="120" w:type="dxa"/>
              <w:bottom w:w="120" w:type="dxa"/>
              <w:right w:w="120" w:type="dxa"/>
            </w:tcMar>
            <w:vAlign w:val="center"/>
            <w:hideMark/>
          </w:tcPr>
          <w:p w14:paraId="5CA1A181" w14:textId="77777777" w:rsidR="009D0D0A" w:rsidRPr="00CF7750" w:rsidRDefault="009D0D0A">
            <w:pPr>
              <w:rPr>
                <w:rFonts w:ascii="Arial" w:hAnsi="Arial" w:cs="Arial"/>
                <w:sz w:val="20"/>
                <w:szCs w:val="20"/>
              </w:rPr>
            </w:pPr>
            <w:r w:rsidRPr="00CF7750">
              <w:rPr>
                <w:rFonts w:ascii="Arial" w:hAnsi="Arial" w:cs="Arial"/>
                <w:sz w:val="20"/>
                <w:szCs w:val="20"/>
              </w:rPr>
              <w:t>ABoVE.MMOD.YYYYAh000-001v000-001.001.tif</w:t>
            </w:r>
          </w:p>
        </w:tc>
        <w:tc>
          <w:tcPr>
            <w:tcW w:w="0" w:type="auto"/>
            <w:tcBorders>
              <w:top w:val="single" w:sz="6" w:space="0" w:color="989898"/>
              <w:left w:val="single" w:sz="6" w:space="0" w:color="989898"/>
              <w:bottom w:val="single" w:sz="6" w:space="0" w:color="989898"/>
              <w:right w:val="single" w:sz="6" w:space="0" w:color="989898"/>
            </w:tcBorders>
            <w:shd w:val="clear" w:color="auto" w:fill="FFFFFF"/>
            <w:tcMar>
              <w:top w:w="120" w:type="dxa"/>
              <w:left w:w="120" w:type="dxa"/>
              <w:bottom w:w="120" w:type="dxa"/>
              <w:right w:w="120" w:type="dxa"/>
            </w:tcMar>
            <w:vAlign w:val="center"/>
            <w:hideMark/>
          </w:tcPr>
          <w:p w14:paraId="3FBDC747" w14:textId="77777777" w:rsidR="009D0D0A" w:rsidRPr="00CF7750" w:rsidRDefault="009D0D0A">
            <w:pPr>
              <w:rPr>
                <w:rFonts w:ascii="Arial" w:hAnsi="Arial" w:cs="Arial"/>
                <w:sz w:val="20"/>
                <w:szCs w:val="20"/>
              </w:rPr>
            </w:pPr>
            <w:r w:rsidRPr="00CF7750">
              <w:rPr>
                <w:rFonts w:ascii="Arial" w:hAnsi="Arial" w:cs="Arial"/>
                <w:sz w:val="20"/>
                <w:szCs w:val="20"/>
              </w:rPr>
              <w:t>day of year</w:t>
            </w:r>
          </w:p>
        </w:tc>
        <w:tc>
          <w:tcPr>
            <w:tcW w:w="4373" w:type="dxa"/>
            <w:tcBorders>
              <w:top w:val="single" w:sz="6" w:space="0" w:color="989898"/>
              <w:left w:val="single" w:sz="6" w:space="0" w:color="989898"/>
              <w:bottom w:val="single" w:sz="6" w:space="0" w:color="989898"/>
              <w:right w:val="single" w:sz="6" w:space="0" w:color="989898"/>
            </w:tcBorders>
            <w:shd w:val="clear" w:color="auto" w:fill="FFFFFF"/>
            <w:tcMar>
              <w:top w:w="120" w:type="dxa"/>
              <w:left w:w="120" w:type="dxa"/>
              <w:bottom w:w="120" w:type="dxa"/>
              <w:right w:w="120" w:type="dxa"/>
            </w:tcMar>
            <w:vAlign w:val="center"/>
            <w:hideMark/>
          </w:tcPr>
          <w:p w14:paraId="6E92BA78" w14:textId="181B53DA" w:rsidR="009D0D0A" w:rsidRPr="00CF7750" w:rsidRDefault="00B54336">
            <w:pPr>
              <w:pStyle w:val="NormalWeb"/>
              <w:spacing w:before="180" w:beforeAutospacing="0" w:after="180" w:afterAutospacing="0"/>
              <w:rPr>
                <w:rFonts w:ascii="Arial" w:hAnsi="Arial" w:cs="Arial"/>
                <w:sz w:val="20"/>
                <w:szCs w:val="20"/>
              </w:rPr>
            </w:pPr>
            <w:r w:rsidRPr="00CF7750">
              <w:rPr>
                <w:rFonts w:ascii="Arial" w:hAnsi="Arial" w:cs="Arial"/>
                <w:sz w:val="20"/>
                <w:szCs w:val="20"/>
              </w:rPr>
              <w:t>3</w:t>
            </w:r>
            <w:r>
              <w:rPr>
                <w:rFonts w:ascii="Arial" w:hAnsi="Arial" w:cs="Arial"/>
                <w:sz w:val="20"/>
                <w:szCs w:val="20"/>
              </w:rPr>
              <w:t>7</w:t>
            </w:r>
            <w:r w:rsidRPr="00CF7750">
              <w:rPr>
                <w:rFonts w:ascii="Arial" w:hAnsi="Arial" w:cs="Arial"/>
                <w:sz w:val="20"/>
                <w:szCs w:val="20"/>
              </w:rPr>
              <w:t xml:space="preserve"> </w:t>
            </w:r>
            <w:r w:rsidR="009D0D0A" w:rsidRPr="00CF7750">
              <w:rPr>
                <w:rFonts w:ascii="Arial" w:hAnsi="Arial" w:cs="Arial"/>
                <w:sz w:val="20"/>
                <w:szCs w:val="20"/>
              </w:rPr>
              <w:t>files providing the main melt onset date (MMOD), one for each year for the period 1988–</w:t>
            </w:r>
            <w:r>
              <w:rPr>
                <w:rFonts w:ascii="Arial" w:hAnsi="Arial" w:cs="Arial"/>
                <w:sz w:val="20"/>
                <w:szCs w:val="20"/>
              </w:rPr>
              <w:t>2023</w:t>
            </w:r>
            <w:r w:rsidR="009D0D0A" w:rsidRPr="00CF7750">
              <w:rPr>
                <w:rFonts w:ascii="Arial" w:hAnsi="Arial" w:cs="Arial"/>
                <w:sz w:val="20"/>
                <w:szCs w:val="20"/>
              </w:rPr>
              <w:t>. Cell values indicate the day of the year (range 40–202) when the MMOD was observed. The no data value is -9999.</w:t>
            </w:r>
          </w:p>
        </w:tc>
      </w:tr>
      <w:tr w:rsidR="009D0D0A" w14:paraId="167F95DF" w14:textId="77777777" w:rsidTr="00E17245">
        <w:trPr>
          <w:trHeight w:val="799"/>
        </w:trPr>
        <w:tc>
          <w:tcPr>
            <w:tcW w:w="0" w:type="auto"/>
            <w:tcBorders>
              <w:top w:val="single" w:sz="6" w:space="0" w:color="989898"/>
              <w:left w:val="single" w:sz="6" w:space="0" w:color="989898"/>
              <w:bottom w:val="single" w:sz="6" w:space="0" w:color="989898"/>
              <w:right w:val="single" w:sz="6" w:space="0" w:color="989898"/>
            </w:tcBorders>
            <w:shd w:val="clear" w:color="auto" w:fill="F1F1F1"/>
            <w:tcMar>
              <w:top w:w="120" w:type="dxa"/>
              <w:left w:w="120" w:type="dxa"/>
              <w:bottom w:w="120" w:type="dxa"/>
              <w:right w:w="120" w:type="dxa"/>
            </w:tcMar>
            <w:vAlign w:val="center"/>
            <w:hideMark/>
          </w:tcPr>
          <w:p w14:paraId="761580CE" w14:textId="77777777" w:rsidR="009D0D0A" w:rsidRPr="00CF7750" w:rsidRDefault="009D0D0A">
            <w:pPr>
              <w:rPr>
                <w:rFonts w:ascii="Arial" w:hAnsi="Arial" w:cs="Arial"/>
                <w:sz w:val="20"/>
                <w:szCs w:val="20"/>
              </w:rPr>
            </w:pPr>
            <w:proofErr w:type="spellStart"/>
            <w:r w:rsidRPr="00CF7750">
              <w:rPr>
                <w:rFonts w:ascii="Arial" w:hAnsi="Arial" w:cs="Arial"/>
                <w:sz w:val="20"/>
                <w:szCs w:val="20"/>
              </w:rPr>
              <w:t>FW_mask.tif</w:t>
            </w:r>
            <w:proofErr w:type="spellEnd"/>
          </w:p>
        </w:tc>
        <w:tc>
          <w:tcPr>
            <w:tcW w:w="0" w:type="auto"/>
            <w:tcBorders>
              <w:top w:val="single" w:sz="6" w:space="0" w:color="989898"/>
              <w:left w:val="single" w:sz="6" w:space="0" w:color="989898"/>
              <w:bottom w:val="single" w:sz="6" w:space="0" w:color="989898"/>
              <w:right w:val="single" w:sz="6" w:space="0" w:color="989898"/>
            </w:tcBorders>
            <w:shd w:val="clear" w:color="auto" w:fill="F1F1F1"/>
            <w:tcMar>
              <w:top w:w="120" w:type="dxa"/>
              <w:left w:w="120" w:type="dxa"/>
              <w:bottom w:w="120" w:type="dxa"/>
              <w:right w:w="120" w:type="dxa"/>
            </w:tcMar>
            <w:vAlign w:val="center"/>
            <w:hideMark/>
          </w:tcPr>
          <w:p w14:paraId="31FB6050" w14:textId="77777777" w:rsidR="009D0D0A" w:rsidRPr="00CF7750" w:rsidRDefault="009D0D0A">
            <w:pPr>
              <w:rPr>
                <w:rFonts w:ascii="Arial" w:hAnsi="Arial" w:cs="Arial"/>
                <w:sz w:val="20"/>
                <w:szCs w:val="20"/>
              </w:rPr>
            </w:pPr>
            <w:r w:rsidRPr="00CF7750">
              <w:rPr>
                <w:rFonts w:ascii="Arial" w:hAnsi="Arial" w:cs="Arial"/>
                <w:sz w:val="20"/>
                <w:szCs w:val="20"/>
              </w:rPr>
              <w:t>percent</w:t>
            </w:r>
          </w:p>
        </w:tc>
        <w:tc>
          <w:tcPr>
            <w:tcW w:w="4373" w:type="dxa"/>
            <w:tcBorders>
              <w:top w:val="single" w:sz="6" w:space="0" w:color="989898"/>
              <w:left w:val="single" w:sz="6" w:space="0" w:color="989898"/>
              <w:bottom w:val="single" w:sz="6" w:space="0" w:color="989898"/>
              <w:right w:val="single" w:sz="6" w:space="0" w:color="989898"/>
            </w:tcBorders>
            <w:shd w:val="clear" w:color="auto" w:fill="F1F1F1"/>
            <w:tcMar>
              <w:top w:w="120" w:type="dxa"/>
              <w:left w:w="120" w:type="dxa"/>
              <w:bottom w:w="120" w:type="dxa"/>
              <w:right w:w="120" w:type="dxa"/>
            </w:tcMar>
            <w:vAlign w:val="center"/>
            <w:hideMark/>
          </w:tcPr>
          <w:p w14:paraId="13AAB21C" w14:textId="77777777" w:rsidR="009D0D0A" w:rsidRPr="00CF7750" w:rsidRDefault="009D0D0A">
            <w:pPr>
              <w:rPr>
                <w:rFonts w:ascii="Arial" w:hAnsi="Arial" w:cs="Arial"/>
                <w:sz w:val="20"/>
                <w:szCs w:val="20"/>
              </w:rPr>
            </w:pPr>
            <w:r w:rsidRPr="00CF7750">
              <w:rPr>
                <w:rFonts w:ascii="Arial" w:hAnsi="Arial" w:cs="Arial"/>
                <w:sz w:val="20"/>
                <w:szCs w:val="20"/>
              </w:rPr>
              <w:t>The percent of the grid cell covered by surface water provided because high levels of or high seasonal variability in fractional water influenced the MMOD detection algorithm. The no data value is -999.</w:t>
            </w:r>
          </w:p>
        </w:tc>
      </w:tr>
    </w:tbl>
    <w:p w14:paraId="37A53A3E" w14:textId="77777777" w:rsidR="009D0D0A" w:rsidRDefault="009D0D0A" w:rsidP="009D0D0A">
      <w:pPr>
        <w:pStyle w:val="NormalWeb"/>
        <w:spacing w:before="180" w:beforeAutospacing="0" w:after="180" w:afterAutospacing="0"/>
        <w:rPr>
          <w:rFonts w:ascii="Arial" w:hAnsi="Arial" w:cs="Arial"/>
          <w:color w:val="323232"/>
          <w:sz w:val="20"/>
          <w:szCs w:val="20"/>
        </w:rPr>
      </w:pPr>
      <w:r>
        <w:rPr>
          <w:rStyle w:val="Strong"/>
          <w:rFonts w:ascii="Arial" w:hAnsi="Arial" w:cs="Arial"/>
          <w:color w:val="323232"/>
          <w:sz w:val="20"/>
          <w:szCs w:val="20"/>
        </w:rPr>
        <w:t>Data File Details</w:t>
      </w:r>
    </w:p>
    <w:p w14:paraId="58B83922"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 xml:space="preserve">For all </w:t>
      </w:r>
      <w:proofErr w:type="spellStart"/>
      <w:r>
        <w:rPr>
          <w:rFonts w:ascii="Arial" w:hAnsi="Arial" w:cs="Arial"/>
          <w:color w:val="323232"/>
          <w:sz w:val="20"/>
          <w:szCs w:val="20"/>
        </w:rPr>
        <w:t>GeoTIFF</w:t>
      </w:r>
      <w:proofErr w:type="spellEnd"/>
      <w:r>
        <w:rPr>
          <w:rFonts w:ascii="Arial" w:hAnsi="Arial" w:cs="Arial"/>
          <w:color w:val="323232"/>
          <w:sz w:val="20"/>
          <w:szCs w:val="20"/>
        </w:rPr>
        <w:t xml:space="preserve"> files, the CRS is EPSG:102001 (i.e., standard ABoVE projection).</w:t>
      </w:r>
    </w:p>
    <w:p w14:paraId="2E74BAAC" w14:textId="77777777" w:rsidR="009D0D0A" w:rsidRDefault="009D0D0A" w:rsidP="00C600AD">
      <w:pPr>
        <w:pStyle w:val="Heading2"/>
        <w:numPr>
          <w:ilvl w:val="0"/>
          <w:numId w:val="4"/>
        </w:numPr>
        <w:rPr>
          <w:rFonts w:ascii="Arial" w:hAnsi="Arial" w:cs="Arial"/>
          <w:color w:val="323232"/>
        </w:rPr>
      </w:pPr>
      <w:r>
        <w:rPr>
          <w:rFonts w:ascii="Arial" w:hAnsi="Arial" w:cs="Arial"/>
          <w:color w:val="323232"/>
        </w:rPr>
        <w:t>Application and Derivation</w:t>
      </w:r>
    </w:p>
    <w:p w14:paraId="4F2A32D9" w14:textId="2700CC6B"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 xml:space="preserve">The main snowmelt onset date (MMOD) influences local and regional ecosystem services, wildlife movements, and hydrologic processes, such as streamflow, flooding, and river ice break up. The timing and pattern of snowmelt have important impacts on the economies of Alaskan and Canadian human communities. This dataset documents variability in MMOD across space and the </w:t>
      </w:r>
      <w:r w:rsidR="00C600AD">
        <w:rPr>
          <w:rFonts w:ascii="Arial" w:hAnsi="Arial" w:cs="Arial"/>
          <w:color w:val="323232"/>
          <w:sz w:val="20"/>
          <w:szCs w:val="20"/>
        </w:rPr>
        <w:t>36</w:t>
      </w:r>
      <w:r>
        <w:rPr>
          <w:rFonts w:ascii="Arial" w:hAnsi="Arial" w:cs="Arial"/>
          <w:color w:val="323232"/>
          <w:sz w:val="20"/>
          <w:szCs w:val="20"/>
        </w:rPr>
        <w:t>-year study period.</w:t>
      </w:r>
    </w:p>
    <w:p w14:paraId="20ED8AEC" w14:textId="77777777" w:rsidR="009D0D0A" w:rsidRDefault="009D0D0A" w:rsidP="00C600AD">
      <w:pPr>
        <w:pStyle w:val="Heading2"/>
        <w:numPr>
          <w:ilvl w:val="0"/>
          <w:numId w:val="4"/>
        </w:numPr>
        <w:rPr>
          <w:rFonts w:ascii="Arial" w:hAnsi="Arial" w:cs="Arial"/>
          <w:color w:val="323232"/>
        </w:rPr>
      </w:pPr>
      <w:r>
        <w:rPr>
          <w:rFonts w:ascii="Arial" w:hAnsi="Arial" w:cs="Arial"/>
          <w:color w:val="323232"/>
        </w:rPr>
        <w:t>Quality Assessment</w:t>
      </w:r>
    </w:p>
    <w:p w14:paraId="53F73C47" w14:textId="06A0C370"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The Passive Microwave (PMW) MMOD dataset was validated using meteorological, field, and satellite observations. The MMOD estimates were compared to the transition date from Freeze Degree Days (FDD) to Thaw Degree Days (TDD) derived from average daily air temperatures from World Meteorological Organization (WMO) weather stations (</w:t>
      </w:r>
      <w:hyperlink r:id="rId17" w:history="1">
        <w:r>
          <w:rPr>
            <w:rStyle w:val="Hyperlink"/>
            <w:rFonts w:ascii="Arial" w:hAnsi="Arial" w:cs="Arial"/>
            <w:color w:val="2276AC"/>
            <w:sz w:val="20"/>
            <w:szCs w:val="20"/>
          </w:rPr>
          <w:t>www.ncdc.noaa.gov</w:t>
        </w:r>
      </w:hyperlink>
      <w:r>
        <w:rPr>
          <w:rFonts w:ascii="Arial" w:hAnsi="Arial" w:cs="Arial"/>
          <w:color w:val="323232"/>
          <w:sz w:val="20"/>
          <w:szCs w:val="20"/>
        </w:rPr>
        <w:t xml:space="preserve">) and to observations from Alaska’s </w:t>
      </w:r>
      <w:proofErr w:type="spellStart"/>
      <w:r>
        <w:rPr>
          <w:rFonts w:ascii="Arial" w:hAnsi="Arial" w:cs="Arial"/>
          <w:color w:val="323232"/>
          <w:sz w:val="20"/>
          <w:szCs w:val="20"/>
        </w:rPr>
        <w:t>SNOw</w:t>
      </w:r>
      <w:proofErr w:type="spellEnd"/>
      <w:r>
        <w:rPr>
          <w:rFonts w:ascii="Arial" w:hAnsi="Arial" w:cs="Arial"/>
          <w:color w:val="323232"/>
          <w:sz w:val="20"/>
          <w:szCs w:val="20"/>
        </w:rPr>
        <w:t xml:space="preserve"> </w:t>
      </w:r>
      <w:proofErr w:type="spellStart"/>
      <w:r>
        <w:rPr>
          <w:rFonts w:ascii="Arial" w:hAnsi="Arial" w:cs="Arial"/>
          <w:color w:val="323232"/>
          <w:sz w:val="20"/>
          <w:szCs w:val="20"/>
        </w:rPr>
        <w:t>TELemetry</w:t>
      </w:r>
      <w:proofErr w:type="spellEnd"/>
      <w:r>
        <w:rPr>
          <w:rFonts w:ascii="Arial" w:hAnsi="Arial" w:cs="Arial"/>
          <w:color w:val="323232"/>
          <w:sz w:val="20"/>
          <w:szCs w:val="20"/>
        </w:rPr>
        <w:t xml:space="preserve"> network</w:t>
      </w:r>
      <w:r w:rsidR="00B54336">
        <w:rPr>
          <w:rFonts w:ascii="Arial" w:hAnsi="Arial" w:cs="Arial"/>
          <w:color w:val="323232"/>
          <w:sz w:val="20"/>
          <w:szCs w:val="20"/>
        </w:rPr>
        <w:t xml:space="preserve"> stations</w:t>
      </w:r>
      <w:r>
        <w:rPr>
          <w:rFonts w:ascii="Arial" w:hAnsi="Arial" w:cs="Arial"/>
          <w:color w:val="323232"/>
          <w:sz w:val="20"/>
          <w:szCs w:val="20"/>
        </w:rPr>
        <w:t xml:space="preserve"> (SNOTEL; </w:t>
      </w:r>
      <w:hyperlink r:id="rId18" w:history="1">
        <w:r>
          <w:rPr>
            <w:rStyle w:val="Hyperlink"/>
            <w:rFonts w:ascii="Arial" w:hAnsi="Arial" w:cs="Arial"/>
            <w:color w:val="2276AC"/>
            <w:sz w:val="20"/>
            <w:szCs w:val="20"/>
          </w:rPr>
          <w:t>www.nrcs.usda.gov/wps/portal/nrcs/ak/snow/</w:t>
        </w:r>
      </w:hyperlink>
      <w:r>
        <w:rPr>
          <w:rFonts w:ascii="Arial" w:hAnsi="Arial" w:cs="Arial"/>
          <w:color w:val="323232"/>
          <w:sz w:val="20"/>
          <w:szCs w:val="20"/>
        </w:rPr>
        <w:t>). Estimates were also compared against the Freeze-Thaw Earth System Data Record (FT-ESDR; </w:t>
      </w:r>
      <w:hyperlink r:id="rId19" w:history="1">
        <w:r>
          <w:rPr>
            <w:rStyle w:val="Hyperlink"/>
            <w:rFonts w:ascii="Arial" w:hAnsi="Arial" w:cs="Arial"/>
            <w:color w:val="2276AC"/>
            <w:sz w:val="20"/>
            <w:szCs w:val="20"/>
          </w:rPr>
          <w:t>www.ntsg.umt.edu/freeze-thaw/</w:t>
        </w:r>
      </w:hyperlink>
      <w:r>
        <w:rPr>
          <w:rFonts w:ascii="Arial" w:hAnsi="Arial" w:cs="Arial"/>
          <w:color w:val="323232"/>
          <w:sz w:val="20"/>
          <w:szCs w:val="20"/>
        </w:rPr>
        <w:t>) spring onset dates from the corresponding years. Across Alaskan climate regions, correlations between MMOD estimates and FDD-TDD transition dates ranged from 0.42–0.63. Mean absolute error (MAE) values varied 9–18 days and were influenced by forest cover. Spatially, the PMW MMOD data record compared well with the FT-ESDR; however, the mean MMOD was 114 which is 9 days ahead of the mean FT-ESDR spring onset. Overall, the uncertainty in the MMOD estimates was +/- 15 days (Pan et al., 2021).</w:t>
      </w:r>
    </w:p>
    <w:p w14:paraId="279C873B" w14:textId="77777777" w:rsidR="00C600AD" w:rsidRDefault="00C600AD" w:rsidP="009D0D0A">
      <w:pPr>
        <w:pStyle w:val="NormalWeb"/>
        <w:spacing w:before="180" w:beforeAutospacing="0" w:after="180" w:afterAutospacing="0"/>
        <w:rPr>
          <w:rFonts w:ascii="Arial" w:hAnsi="Arial" w:cs="Arial"/>
          <w:color w:val="323232"/>
          <w:sz w:val="20"/>
          <w:szCs w:val="20"/>
        </w:rPr>
      </w:pPr>
    </w:p>
    <w:p w14:paraId="4ED040A4" w14:textId="77777777" w:rsidR="009D0D0A" w:rsidRDefault="009D0D0A" w:rsidP="00C600AD">
      <w:pPr>
        <w:pStyle w:val="Heading2"/>
        <w:numPr>
          <w:ilvl w:val="0"/>
          <w:numId w:val="4"/>
        </w:numPr>
        <w:rPr>
          <w:rFonts w:ascii="Arial" w:hAnsi="Arial" w:cs="Arial"/>
          <w:color w:val="323232"/>
        </w:rPr>
      </w:pPr>
      <w:r>
        <w:rPr>
          <w:rFonts w:ascii="Arial" w:hAnsi="Arial" w:cs="Arial"/>
          <w:color w:val="323232"/>
        </w:rPr>
        <w:t>Data Acquisition, Materials, and Methods</w:t>
      </w:r>
    </w:p>
    <w:p w14:paraId="264CAD0B" w14:textId="2332C92B"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MMODs were estimated for the years 1988–20</w:t>
      </w:r>
      <w:r w:rsidR="00E17245">
        <w:rPr>
          <w:rFonts w:ascii="Arial" w:hAnsi="Arial" w:cs="Arial"/>
          <w:color w:val="323232"/>
          <w:sz w:val="20"/>
          <w:szCs w:val="20"/>
        </w:rPr>
        <w:t>23</w:t>
      </w:r>
      <w:r>
        <w:rPr>
          <w:rFonts w:ascii="Arial" w:hAnsi="Arial" w:cs="Arial"/>
          <w:color w:val="323232"/>
          <w:sz w:val="20"/>
          <w:szCs w:val="20"/>
        </w:rPr>
        <w:t> for Alaska, northwest Canada, and far eastern Russia using imagery from satellite-based passive microwave (PMR) sensors. Daily images in 19 GHz and 37 GHz wavelengths with horizontal and vertical polarizations were obtained from the Making Earth Science Data Records for Use in Research Environments (</w:t>
      </w:r>
      <w:proofErr w:type="spellStart"/>
      <w:r>
        <w:rPr>
          <w:rFonts w:ascii="Arial" w:hAnsi="Arial" w:cs="Arial"/>
          <w:color w:val="323232"/>
          <w:sz w:val="20"/>
          <w:szCs w:val="20"/>
        </w:rPr>
        <w:t>MEaSUREs</w:t>
      </w:r>
      <w:proofErr w:type="spellEnd"/>
      <w:r>
        <w:rPr>
          <w:rFonts w:ascii="Arial" w:hAnsi="Arial" w:cs="Arial"/>
          <w:color w:val="323232"/>
          <w:sz w:val="20"/>
          <w:szCs w:val="20"/>
        </w:rPr>
        <w:t>) Calibrated Enhanced-Resolution Passive Microwave Daily EASE-Grid 2.0 Brightness Temperature ESDR, available at the National Snow and Ice Data Center (NSIDC; </w:t>
      </w:r>
      <w:hyperlink r:id="rId20" w:history="1">
        <w:r>
          <w:rPr>
            <w:rStyle w:val="Hyperlink"/>
            <w:rFonts w:ascii="Arial" w:hAnsi="Arial" w:cs="Arial"/>
            <w:color w:val="2276AC"/>
            <w:sz w:val="20"/>
            <w:szCs w:val="20"/>
          </w:rPr>
          <w:t>https://nsidc.org/pmesdr/</w:t>
        </w:r>
      </w:hyperlink>
      <w:r>
        <w:rPr>
          <w:rFonts w:ascii="Arial" w:hAnsi="Arial" w:cs="Arial"/>
          <w:color w:val="323232"/>
          <w:sz w:val="20"/>
          <w:szCs w:val="20"/>
        </w:rPr>
        <w:t xml:space="preserve">) (Brodzik et al. 2016). </w:t>
      </w:r>
      <w:proofErr w:type="spellStart"/>
      <w:r>
        <w:rPr>
          <w:rFonts w:ascii="Arial" w:hAnsi="Arial" w:cs="Arial"/>
          <w:color w:val="323232"/>
          <w:sz w:val="20"/>
          <w:szCs w:val="20"/>
        </w:rPr>
        <w:t>Scatterometer</w:t>
      </w:r>
      <w:proofErr w:type="spellEnd"/>
      <w:r>
        <w:rPr>
          <w:rFonts w:ascii="Arial" w:hAnsi="Arial" w:cs="Arial"/>
          <w:color w:val="323232"/>
          <w:sz w:val="20"/>
          <w:szCs w:val="20"/>
        </w:rPr>
        <w:t xml:space="preserve"> image reconstruction (SIR) was used to improve the resolution of the PMR images to 6.25 km (19 GHz) and 3.125 km (37 GHz) (Long and Brodzik, 2016). Grid cells with missing data were filled using linear interpolation.</w:t>
      </w:r>
    </w:p>
    <w:p w14:paraId="66975430" w14:textId="77777777" w:rsidR="009D0D0A" w:rsidRDefault="009D0D0A" w:rsidP="009D0D0A">
      <w:pPr>
        <w:pStyle w:val="NormalWeb"/>
        <w:spacing w:before="180" w:beforeAutospacing="0" w:after="180" w:afterAutospacing="0"/>
        <w:rPr>
          <w:rFonts w:ascii="Arial" w:hAnsi="Arial" w:cs="Arial"/>
          <w:color w:val="323232"/>
          <w:sz w:val="20"/>
          <w:szCs w:val="20"/>
        </w:rPr>
      </w:pPr>
      <w:r>
        <w:rPr>
          <w:rFonts w:ascii="Arial" w:hAnsi="Arial" w:cs="Arial"/>
          <w:color w:val="323232"/>
          <w:sz w:val="20"/>
          <w:szCs w:val="20"/>
        </w:rPr>
        <w:t>The PMW MMOD estimation algorithm used gradient ratio polarization (GRP) at 19 GHz and 37 GHz for each grid cell (Pan et al., 2018). GRP remains around 1.0 (unitless) during dry snow conditions and moves below 1.0 as the snow begins to melt. GRP then decreases rapidly to negative values during main melt conditions before increasing to just below 0.0 during the summer. The algorithm captured the date just before the GRP begins to descend below zero, and MMOD was identified when GRP crossed a cell-specific threshold value. For each grid cell, the 4-day running mean GRP (</w:t>
      </w:r>
      <w:r>
        <w:rPr>
          <w:rStyle w:val="Emphasis"/>
          <w:rFonts w:ascii="Arial" w:hAnsi="Arial" w:cs="Arial"/>
          <w:color w:val="323232"/>
          <w:sz w:val="20"/>
          <w:szCs w:val="20"/>
        </w:rPr>
        <w:t>rm</w:t>
      </w:r>
      <w:r>
        <w:rPr>
          <w:rFonts w:ascii="Arial" w:hAnsi="Arial" w:cs="Arial"/>
          <w:color w:val="323232"/>
          <w:sz w:val="20"/>
          <w:szCs w:val="20"/>
        </w:rPr>
        <w:t>) was compared to the winter average GRP (</w:t>
      </w:r>
      <w:r>
        <w:rPr>
          <w:rStyle w:val="Emphasis"/>
          <w:rFonts w:ascii="Arial" w:hAnsi="Arial" w:cs="Arial"/>
          <w:color w:val="323232"/>
          <w:sz w:val="20"/>
          <w:szCs w:val="20"/>
        </w:rPr>
        <w:t>win</w:t>
      </w:r>
      <w:r>
        <w:rPr>
          <w:rFonts w:ascii="Arial" w:hAnsi="Arial" w:cs="Arial"/>
          <w:color w:val="323232"/>
          <w:sz w:val="20"/>
          <w:szCs w:val="20"/>
        </w:rPr>
        <w:t>) for that cell to compute a change parameter (</w:t>
      </w:r>
      <w:r>
        <w:rPr>
          <w:rStyle w:val="Emphasis"/>
          <w:rFonts w:ascii="Arial" w:hAnsi="Arial" w:cs="Arial"/>
          <w:color w:val="323232"/>
          <w:sz w:val="20"/>
          <w:szCs w:val="20"/>
        </w:rPr>
        <w:t>param</w:t>
      </w:r>
      <w:r>
        <w:rPr>
          <w:rFonts w:ascii="Arial" w:hAnsi="Arial" w:cs="Arial"/>
          <w:color w:val="323232"/>
          <w:sz w:val="20"/>
          <w:szCs w:val="20"/>
        </w:rPr>
        <w:t>): </w:t>
      </w:r>
      <w:r>
        <w:rPr>
          <w:rStyle w:val="Emphasis"/>
          <w:rFonts w:ascii="Arial" w:hAnsi="Arial" w:cs="Arial"/>
          <w:color w:val="323232"/>
          <w:sz w:val="20"/>
          <w:szCs w:val="20"/>
        </w:rPr>
        <w:t>param</w:t>
      </w:r>
      <w:r>
        <w:rPr>
          <w:rFonts w:ascii="Arial" w:hAnsi="Arial" w:cs="Arial"/>
          <w:color w:val="323232"/>
          <w:sz w:val="20"/>
          <w:szCs w:val="20"/>
        </w:rPr>
        <w:t> = </w:t>
      </w:r>
      <w:r>
        <w:rPr>
          <w:rStyle w:val="Emphasis"/>
          <w:rFonts w:ascii="Arial" w:hAnsi="Arial" w:cs="Arial"/>
          <w:color w:val="323232"/>
          <w:sz w:val="20"/>
          <w:szCs w:val="20"/>
        </w:rPr>
        <w:t>win </w:t>
      </w:r>
      <w:r>
        <w:rPr>
          <w:rFonts w:ascii="Arial" w:hAnsi="Arial" w:cs="Arial"/>
          <w:color w:val="323232"/>
          <w:sz w:val="20"/>
          <w:szCs w:val="20"/>
        </w:rPr>
        <w:t>- </w:t>
      </w:r>
      <w:r>
        <w:rPr>
          <w:rStyle w:val="Emphasis"/>
          <w:rFonts w:ascii="Arial" w:hAnsi="Arial" w:cs="Arial"/>
          <w:color w:val="323232"/>
          <w:sz w:val="20"/>
          <w:szCs w:val="20"/>
        </w:rPr>
        <w:t>rm</w:t>
      </w:r>
      <w:r>
        <w:rPr>
          <w:rFonts w:ascii="Arial" w:hAnsi="Arial" w:cs="Arial"/>
          <w:color w:val="323232"/>
          <w:sz w:val="20"/>
          <w:szCs w:val="20"/>
        </w:rPr>
        <w:t>. MMOD was identified as the day that </w:t>
      </w:r>
      <w:r>
        <w:rPr>
          <w:rStyle w:val="Emphasis"/>
          <w:rFonts w:ascii="Arial" w:hAnsi="Arial" w:cs="Arial"/>
          <w:color w:val="323232"/>
          <w:sz w:val="20"/>
          <w:szCs w:val="20"/>
        </w:rPr>
        <w:t>param </w:t>
      </w:r>
      <w:r>
        <w:rPr>
          <w:rFonts w:ascii="Arial" w:hAnsi="Arial" w:cs="Arial"/>
          <w:color w:val="323232"/>
          <w:sz w:val="20"/>
          <w:szCs w:val="20"/>
        </w:rPr>
        <w:t>exceeds a threshold value in the range of 0.2–0.6. Preliminary analysis found that the running mean of GRP was affected by surface water features, so threshold values of </w:t>
      </w:r>
      <w:r>
        <w:rPr>
          <w:rStyle w:val="Emphasis"/>
          <w:rFonts w:ascii="Arial" w:hAnsi="Arial" w:cs="Arial"/>
          <w:color w:val="323232"/>
          <w:sz w:val="20"/>
          <w:szCs w:val="20"/>
        </w:rPr>
        <w:t>param </w:t>
      </w:r>
      <w:r>
        <w:rPr>
          <w:rFonts w:ascii="Arial" w:hAnsi="Arial" w:cs="Arial"/>
          <w:color w:val="323232"/>
          <w:sz w:val="20"/>
          <w:szCs w:val="20"/>
        </w:rPr>
        <w:t>were adjusted based on the percent of surface water (i.e., fractional surface water) in each grid cell. Lower </w:t>
      </w:r>
      <w:r>
        <w:rPr>
          <w:rStyle w:val="Emphasis"/>
          <w:rFonts w:ascii="Arial" w:hAnsi="Arial" w:cs="Arial"/>
          <w:color w:val="323232"/>
          <w:sz w:val="20"/>
          <w:szCs w:val="20"/>
        </w:rPr>
        <w:t>param </w:t>
      </w:r>
      <w:r>
        <w:rPr>
          <w:rFonts w:ascii="Arial" w:hAnsi="Arial" w:cs="Arial"/>
          <w:color w:val="323232"/>
          <w:sz w:val="20"/>
          <w:szCs w:val="20"/>
        </w:rPr>
        <w:t>values were used for cells with &gt;39% of fractional surface water (Pan et al., 2021). </w:t>
      </w:r>
    </w:p>
    <w:p w14:paraId="54F1FFAC" w14:textId="7BF89FBA" w:rsidR="009D0D0A" w:rsidRDefault="009D0D0A" w:rsidP="009D0D0A">
      <w:pPr>
        <w:jc w:val="center"/>
      </w:pPr>
      <w:r>
        <w:rPr>
          <w:noProof/>
          <w:lang w:eastAsia="zh-CN"/>
        </w:rPr>
        <w:drawing>
          <wp:inline distT="0" distB="0" distL="0" distR="0" wp14:anchorId="086FBB36" wp14:editId="08F00B92">
            <wp:extent cx="4744112" cy="366763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_Melt_Onset_Dates_Fig2.jpg"/>
                    <pic:cNvPicPr/>
                  </pic:nvPicPr>
                  <pic:blipFill>
                    <a:blip r:embed="rId21">
                      <a:extLst>
                        <a:ext uri="{28A0092B-C50C-407E-A947-70E740481C1C}">
                          <a14:useLocalDpi xmlns:a14="http://schemas.microsoft.com/office/drawing/2010/main" val="0"/>
                        </a:ext>
                      </a:extLst>
                    </a:blip>
                    <a:stretch>
                      <a:fillRect/>
                    </a:stretch>
                  </pic:blipFill>
                  <pic:spPr>
                    <a:xfrm>
                      <a:off x="0" y="0"/>
                      <a:ext cx="4744112" cy="3667637"/>
                    </a:xfrm>
                    <a:prstGeom prst="rect">
                      <a:avLst/>
                    </a:prstGeom>
                  </pic:spPr>
                </pic:pic>
              </a:graphicData>
            </a:graphic>
          </wp:inline>
        </w:drawing>
      </w:r>
    </w:p>
    <w:p w14:paraId="53BF3F6A" w14:textId="7CC08D61" w:rsidR="009D0D0A" w:rsidRDefault="00925018" w:rsidP="009D0D0A">
      <w:pPr>
        <w:spacing w:before="180" w:after="180"/>
        <w:rPr>
          <w:rFonts w:ascii="Arial" w:eastAsia="Times New Roman" w:hAnsi="Arial" w:cs="Arial"/>
          <w:color w:val="323232"/>
          <w:sz w:val="20"/>
          <w:szCs w:val="20"/>
          <w:lang w:eastAsia="zh-CN"/>
        </w:rPr>
      </w:pPr>
      <w:r>
        <w:rPr>
          <w:rFonts w:ascii="Arial" w:eastAsia="Times New Roman" w:hAnsi="Arial" w:cs="Arial"/>
          <w:color w:val="323232"/>
          <w:sz w:val="20"/>
          <w:szCs w:val="20"/>
          <w:lang w:eastAsia="zh-CN"/>
        </w:rPr>
        <w:t>F</w:t>
      </w:r>
      <w:r w:rsidR="009D0D0A" w:rsidRPr="009D0D0A">
        <w:rPr>
          <w:rFonts w:ascii="Arial" w:eastAsia="Times New Roman" w:hAnsi="Arial" w:cs="Arial"/>
          <w:color w:val="323232"/>
          <w:sz w:val="20"/>
          <w:szCs w:val="20"/>
          <w:lang w:eastAsia="zh-CN"/>
        </w:rPr>
        <w:t>igure 2. PMW MMOD gradient ratio polarization (GRP) derivation. Source: Pan et al., 2021</w:t>
      </w:r>
    </w:p>
    <w:p w14:paraId="01FCBBC7" w14:textId="57BC6662" w:rsidR="00C600AD" w:rsidRDefault="00C600AD" w:rsidP="009D0D0A">
      <w:pPr>
        <w:spacing w:before="180" w:after="180"/>
        <w:rPr>
          <w:rFonts w:ascii="Arial" w:eastAsia="Times New Roman" w:hAnsi="Arial" w:cs="Arial"/>
          <w:color w:val="323232"/>
          <w:sz w:val="20"/>
          <w:szCs w:val="20"/>
          <w:lang w:eastAsia="zh-CN"/>
        </w:rPr>
      </w:pPr>
    </w:p>
    <w:p w14:paraId="71B09412" w14:textId="77777777" w:rsidR="00C600AD" w:rsidRPr="009D0D0A" w:rsidRDefault="00C600AD" w:rsidP="009D0D0A">
      <w:pPr>
        <w:spacing w:before="180" w:after="180"/>
        <w:rPr>
          <w:rFonts w:ascii="Arial" w:eastAsia="Times New Roman" w:hAnsi="Arial" w:cs="Arial"/>
          <w:color w:val="323232"/>
          <w:sz w:val="20"/>
          <w:szCs w:val="20"/>
          <w:lang w:eastAsia="zh-CN"/>
        </w:rPr>
      </w:pPr>
    </w:p>
    <w:p w14:paraId="6AF0AF74" w14:textId="77777777" w:rsidR="009D0D0A" w:rsidRPr="00C600AD" w:rsidRDefault="009D0D0A" w:rsidP="00C600AD">
      <w:pPr>
        <w:pStyle w:val="Heading2"/>
        <w:numPr>
          <w:ilvl w:val="0"/>
          <w:numId w:val="4"/>
        </w:numPr>
        <w:rPr>
          <w:rFonts w:ascii="Arial" w:hAnsi="Arial" w:cs="Arial"/>
          <w:color w:val="323232"/>
        </w:rPr>
      </w:pPr>
      <w:r w:rsidRPr="009D0D0A">
        <w:rPr>
          <w:rFonts w:ascii="Arial" w:hAnsi="Arial" w:cs="Arial"/>
          <w:color w:val="323232"/>
        </w:rPr>
        <w:t>Data Access</w:t>
      </w:r>
    </w:p>
    <w:p w14:paraId="2E87EF33" w14:textId="77777777" w:rsidR="009D0D0A" w:rsidRP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These data are available through the Oak Ridge National Laboratory (ORNL) Distributed Active Archive Center (DAAC).</w:t>
      </w:r>
    </w:p>
    <w:p w14:paraId="2FF04D52" w14:textId="57B4D5B4" w:rsidR="009D0D0A" w:rsidRPr="009D0D0A" w:rsidRDefault="003628F8" w:rsidP="009D0D0A">
      <w:pPr>
        <w:spacing w:before="180" w:after="180"/>
        <w:rPr>
          <w:rFonts w:ascii="Arial" w:eastAsia="Times New Roman" w:hAnsi="Arial" w:cs="Arial"/>
          <w:color w:val="2276AC"/>
          <w:sz w:val="20"/>
          <w:szCs w:val="20"/>
          <w:u w:val="single"/>
          <w:lang w:eastAsia="zh-CN"/>
        </w:rPr>
      </w:pPr>
      <w:hyperlink r:id="rId22" w:history="1">
        <w:r w:rsidR="009D0D0A" w:rsidRPr="009D0D0A">
          <w:rPr>
            <w:rFonts w:ascii="Arial" w:eastAsia="Times New Roman" w:hAnsi="Arial" w:cs="Arial"/>
            <w:color w:val="2276AC"/>
            <w:sz w:val="20"/>
            <w:szCs w:val="20"/>
            <w:u w:val="single"/>
            <w:lang w:eastAsia="zh-CN"/>
          </w:rPr>
          <w:t>ABoVE: Passive Microwave-derived Annual Snowpack Main Melt Onset Date Maps, 1988-20</w:t>
        </w:r>
      </w:hyperlink>
      <w:r w:rsidR="00E17245" w:rsidRPr="00E17245">
        <w:rPr>
          <w:rFonts w:ascii="Arial" w:eastAsia="Times New Roman" w:hAnsi="Arial" w:cs="Arial"/>
          <w:color w:val="2276AC"/>
          <w:sz w:val="20"/>
          <w:szCs w:val="20"/>
          <w:u w:val="single"/>
          <w:lang w:eastAsia="zh-CN"/>
        </w:rPr>
        <w:t>23</w:t>
      </w:r>
    </w:p>
    <w:p w14:paraId="30D31BCE" w14:textId="77777777" w:rsidR="009D0D0A" w:rsidRP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Contact for Data Center Access Information:</w:t>
      </w:r>
    </w:p>
    <w:p w14:paraId="2DDE7F96" w14:textId="77777777" w:rsidR="009D0D0A" w:rsidRPr="009D0D0A" w:rsidRDefault="009D0D0A" w:rsidP="009D0D0A">
      <w:pPr>
        <w:numPr>
          <w:ilvl w:val="0"/>
          <w:numId w:val="3"/>
        </w:numPr>
        <w:spacing w:before="100" w:beforeAutospacing="1" w:after="100" w:afterAutospacing="1"/>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E-mail: </w:t>
      </w:r>
      <w:hyperlink r:id="rId23" w:history="1">
        <w:r w:rsidRPr="009D0D0A">
          <w:rPr>
            <w:rFonts w:ascii="Arial" w:eastAsia="Times New Roman" w:hAnsi="Arial" w:cs="Arial"/>
            <w:color w:val="2276AC"/>
            <w:sz w:val="20"/>
            <w:szCs w:val="20"/>
            <w:u w:val="single"/>
            <w:lang w:eastAsia="zh-CN"/>
          </w:rPr>
          <w:t>uso@daac.ornl.gov</w:t>
        </w:r>
      </w:hyperlink>
    </w:p>
    <w:p w14:paraId="4BD1577C" w14:textId="77777777" w:rsidR="009D0D0A" w:rsidRPr="009D0D0A" w:rsidRDefault="009D0D0A" w:rsidP="009D0D0A">
      <w:pPr>
        <w:numPr>
          <w:ilvl w:val="0"/>
          <w:numId w:val="3"/>
        </w:numPr>
        <w:spacing w:before="100" w:beforeAutospacing="1" w:after="100" w:afterAutospacing="1"/>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Telephone: +1 (865) 241-3952</w:t>
      </w:r>
    </w:p>
    <w:p w14:paraId="39162084" w14:textId="77777777" w:rsidR="009D0D0A" w:rsidRPr="00C600AD" w:rsidRDefault="009D0D0A" w:rsidP="00C600AD">
      <w:pPr>
        <w:pStyle w:val="Heading2"/>
        <w:numPr>
          <w:ilvl w:val="0"/>
          <w:numId w:val="4"/>
        </w:numPr>
        <w:rPr>
          <w:rFonts w:ascii="Arial" w:hAnsi="Arial" w:cs="Arial"/>
          <w:color w:val="323232"/>
        </w:rPr>
      </w:pPr>
      <w:r w:rsidRPr="009D0D0A">
        <w:rPr>
          <w:rFonts w:ascii="Arial" w:hAnsi="Arial" w:cs="Arial"/>
          <w:color w:val="323232"/>
        </w:rPr>
        <w:t>References</w:t>
      </w:r>
    </w:p>
    <w:p w14:paraId="20EA3415" w14:textId="77777777" w:rsidR="009D0D0A" w:rsidRP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 xml:space="preserve">Brodzik, M.J., D.G. Long, M.A. Hardman, A. Paget, and R. Armstrong. 2016, Updated 2020. </w:t>
      </w:r>
      <w:proofErr w:type="spellStart"/>
      <w:r w:rsidRPr="009D0D0A">
        <w:rPr>
          <w:rFonts w:ascii="Arial" w:eastAsia="Times New Roman" w:hAnsi="Arial" w:cs="Arial"/>
          <w:color w:val="323232"/>
          <w:sz w:val="20"/>
          <w:szCs w:val="20"/>
          <w:lang w:eastAsia="zh-CN"/>
        </w:rPr>
        <w:t>MEaSUREs</w:t>
      </w:r>
      <w:proofErr w:type="spellEnd"/>
      <w:r w:rsidRPr="009D0D0A">
        <w:rPr>
          <w:rFonts w:ascii="Arial" w:eastAsia="Times New Roman" w:hAnsi="Arial" w:cs="Arial"/>
          <w:color w:val="323232"/>
          <w:sz w:val="20"/>
          <w:szCs w:val="20"/>
          <w:lang w:eastAsia="zh-CN"/>
        </w:rPr>
        <w:t xml:space="preserve"> Calibrated Enhanced-Resolution Passive Microwave Daily EASE-Grid 2.0 Brightness Temperature ESDR, Version 1. Boulder, Colorado USA. NASA National Snow and Ice Data Center Distributed Active Archive Center. </w:t>
      </w:r>
      <w:hyperlink r:id="rId24" w:history="1">
        <w:r w:rsidRPr="009D0D0A">
          <w:rPr>
            <w:rFonts w:ascii="Arial" w:eastAsia="Times New Roman" w:hAnsi="Arial" w:cs="Arial"/>
            <w:color w:val="2276AC"/>
            <w:sz w:val="20"/>
            <w:szCs w:val="20"/>
            <w:u w:val="single"/>
            <w:lang w:eastAsia="zh-CN"/>
          </w:rPr>
          <w:t>https://doi.org/10.5067/MEASURES/CRYOSPHERE/NSIDC-0630.001</w:t>
        </w:r>
      </w:hyperlink>
      <w:r w:rsidRPr="009D0D0A">
        <w:rPr>
          <w:rFonts w:ascii="Arial" w:eastAsia="Times New Roman" w:hAnsi="Arial" w:cs="Arial"/>
          <w:color w:val="323232"/>
          <w:sz w:val="20"/>
          <w:szCs w:val="20"/>
          <w:lang w:eastAsia="zh-CN"/>
        </w:rPr>
        <w:t> </w:t>
      </w:r>
    </w:p>
    <w:p w14:paraId="53DCD215" w14:textId="77777777" w:rsidR="009D0D0A" w:rsidRP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Lindsay, C., J. Zhu, A.E. Miller, P. Kirchner, and T.L. Wilson. 2015. Deriving snow cover metrics for Alaska from MODIS. Remote Sensing 7:12961–12985. </w:t>
      </w:r>
      <w:hyperlink r:id="rId25" w:history="1">
        <w:r w:rsidRPr="009D0D0A">
          <w:rPr>
            <w:rFonts w:ascii="Arial" w:eastAsia="Times New Roman" w:hAnsi="Arial" w:cs="Arial"/>
            <w:color w:val="2276AC"/>
            <w:sz w:val="20"/>
            <w:szCs w:val="20"/>
            <w:u w:val="single"/>
            <w:lang w:eastAsia="zh-CN"/>
          </w:rPr>
          <w:t>https://doi.org/10.3390/rs71012961</w:t>
        </w:r>
      </w:hyperlink>
    </w:p>
    <w:p w14:paraId="59746245" w14:textId="77777777" w:rsidR="009D0D0A" w:rsidRP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Long, D.G., and M.J. Brodzik. 2016. Optimum image formation for spaceborne microwave radiometer products. IEEE Transactions on Geoscience and Remote Sensing 54(5):2763–2779. </w:t>
      </w:r>
      <w:hyperlink r:id="rId26" w:history="1">
        <w:r w:rsidRPr="009D0D0A">
          <w:rPr>
            <w:rFonts w:ascii="Arial" w:eastAsia="Times New Roman" w:hAnsi="Arial" w:cs="Arial"/>
            <w:color w:val="2276AC"/>
            <w:sz w:val="20"/>
            <w:szCs w:val="20"/>
            <w:u w:val="single"/>
            <w:lang w:eastAsia="zh-CN"/>
          </w:rPr>
          <w:t>https://doi.org/10.1109/TGRS.2015.2505677</w:t>
        </w:r>
      </w:hyperlink>
      <w:r w:rsidRPr="009D0D0A">
        <w:rPr>
          <w:rFonts w:ascii="Arial" w:eastAsia="Times New Roman" w:hAnsi="Arial" w:cs="Arial"/>
          <w:color w:val="323232"/>
          <w:sz w:val="20"/>
          <w:szCs w:val="20"/>
          <w:lang w:eastAsia="zh-CN"/>
        </w:rPr>
        <w:t> </w:t>
      </w:r>
    </w:p>
    <w:p w14:paraId="60EAC775" w14:textId="77777777" w:rsidR="009D0D0A" w:rsidRP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Pan, C.G., P. Kirchner, J.S. Kimball, Y. Kim, and J. Du. 2018. Rain-on-snow events in Alaska, their frequency and distribution from satellite observations. Environmental Research Letters 13:075004. </w:t>
      </w:r>
      <w:hyperlink r:id="rId27" w:history="1">
        <w:r w:rsidRPr="009D0D0A">
          <w:rPr>
            <w:rFonts w:ascii="Arial" w:eastAsia="Times New Roman" w:hAnsi="Arial" w:cs="Arial"/>
            <w:color w:val="2276AC"/>
            <w:sz w:val="20"/>
            <w:szCs w:val="20"/>
            <w:u w:val="single"/>
            <w:lang w:eastAsia="zh-CN"/>
          </w:rPr>
          <w:t>https://doi.org/10.1088/1748-9326/aac9d3</w:t>
        </w:r>
      </w:hyperlink>
      <w:r w:rsidRPr="009D0D0A">
        <w:rPr>
          <w:rFonts w:ascii="Arial" w:eastAsia="Times New Roman" w:hAnsi="Arial" w:cs="Arial"/>
          <w:color w:val="323232"/>
          <w:sz w:val="20"/>
          <w:szCs w:val="20"/>
          <w:lang w:eastAsia="zh-CN"/>
        </w:rPr>
        <w:t> </w:t>
      </w:r>
    </w:p>
    <w:p w14:paraId="5CC7F522" w14:textId="21FB8337" w:rsidR="009D0D0A" w:rsidRPr="009D0D0A" w:rsidRDefault="009D0D0A" w:rsidP="009D0D0A">
      <w:pPr>
        <w:spacing w:before="180" w:after="180"/>
        <w:rPr>
          <w:rFonts w:ascii="Arial" w:eastAsia="Times New Roman" w:hAnsi="Arial" w:cs="Arial"/>
          <w:color w:val="323232"/>
          <w:sz w:val="20"/>
          <w:szCs w:val="20"/>
          <w:lang w:eastAsia="zh-CN"/>
        </w:rPr>
      </w:pPr>
      <w:r w:rsidRPr="009D0D0A">
        <w:rPr>
          <w:rFonts w:ascii="Arial" w:eastAsia="Times New Roman" w:hAnsi="Arial" w:cs="Arial"/>
          <w:color w:val="323232"/>
          <w:sz w:val="20"/>
          <w:szCs w:val="20"/>
          <w:lang w:eastAsia="zh-CN"/>
        </w:rPr>
        <w:t>Pan, C.G., P.B. Kirchner, J.S. Kimball, J. Du.</w:t>
      </w:r>
      <w:r>
        <w:rPr>
          <w:rFonts w:ascii="Arial" w:eastAsia="Times New Roman" w:hAnsi="Arial" w:cs="Arial"/>
          <w:color w:val="323232"/>
          <w:sz w:val="20"/>
          <w:szCs w:val="20"/>
          <w:lang w:eastAsia="zh-CN"/>
        </w:rPr>
        <w:t>, and M.A. Rawlins.</w:t>
      </w:r>
      <w:r w:rsidRPr="009D0D0A">
        <w:rPr>
          <w:rFonts w:ascii="Arial" w:eastAsia="Times New Roman" w:hAnsi="Arial" w:cs="Arial"/>
          <w:color w:val="323232"/>
          <w:sz w:val="20"/>
          <w:szCs w:val="20"/>
          <w:lang w:eastAsia="zh-CN"/>
        </w:rPr>
        <w:t xml:space="preserve"> 2021. Snow phenology and hydrologic timing in the Yukon River Basin, AK, USA. Remote Sensing, 13(12), p.2284.</w:t>
      </w:r>
      <w:r>
        <w:rPr>
          <w:rFonts w:ascii="Arial" w:eastAsia="Times New Roman" w:hAnsi="Arial" w:cs="Arial"/>
          <w:color w:val="323232"/>
          <w:sz w:val="20"/>
          <w:szCs w:val="20"/>
          <w:lang w:eastAsia="zh-CN"/>
        </w:rPr>
        <w:t xml:space="preserve"> </w:t>
      </w:r>
      <w:hyperlink r:id="rId28" w:history="1">
        <w:r w:rsidRPr="009D0D0A">
          <w:rPr>
            <w:rFonts w:ascii="Arial" w:eastAsia="Times New Roman" w:hAnsi="Arial" w:cs="Arial"/>
            <w:color w:val="2276AC"/>
            <w:sz w:val="20"/>
            <w:szCs w:val="20"/>
            <w:u w:val="single"/>
            <w:lang w:eastAsia="zh-CN"/>
          </w:rPr>
          <w:t>https://doi.org/10.3390/rs13122284</w:t>
        </w:r>
      </w:hyperlink>
    </w:p>
    <w:p w14:paraId="0C148B8C" w14:textId="77777777" w:rsidR="009D0D0A" w:rsidRPr="009D0D0A" w:rsidRDefault="009D0D0A" w:rsidP="009D0D0A">
      <w:pPr>
        <w:jc w:val="center"/>
      </w:pPr>
    </w:p>
    <w:sectPr w:rsidR="009D0D0A" w:rsidRPr="009D0D0A" w:rsidSect="002479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3257A6"/>
    <w:multiLevelType w:val="multilevel"/>
    <w:tmpl w:val="A972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E865F3"/>
    <w:multiLevelType w:val="multilevel"/>
    <w:tmpl w:val="F10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C32A0C"/>
    <w:multiLevelType w:val="multilevel"/>
    <w:tmpl w:val="85B2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80366C"/>
    <w:multiLevelType w:val="hybridMultilevel"/>
    <w:tmpl w:val="B5C28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5B7"/>
    <w:rsid w:val="000B28D5"/>
    <w:rsid w:val="00211553"/>
    <w:rsid w:val="002479A7"/>
    <w:rsid w:val="003628F8"/>
    <w:rsid w:val="00421AAB"/>
    <w:rsid w:val="006A2B26"/>
    <w:rsid w:val="00785586"/>
    <w:rsid w:val="008B6E84"/>
    <w:rsid w:val="008C05B7"/>
    <w:rsid w:val="008E37EA"/>
    <w:rsid w:val="00925018"/>
    <w:rsid w:val="0095718B"/>
    <w:rsid w:val="0096243C"/>
    <w:rsid w:val="009D0D0A"/>
    <w:rsid w:val="00B54336"/>
    <w:rsid w:val="00B734E9"/>
    <w:rsid w:val="00BF3BBB"/>
    <w:rsid w:val="00C600AD"/>
    <w:rsid w:val="00CF7750"/>
    <w:rsid w:val="00E17245"/>
    <w:rsid w:val="00E70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240C1"/>
  <w15:chartTrackingRefBased/>
  <w15:docId w15:val="{88CBA07B-14C3-AE4A-B83A-584AAE9EF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72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D0D0A"/>
    <w:pPr>
      <w:spacing w:before="100" w:beforeAutospacing="1" w:after="100" w:afterAutospacing="1"/>
      <w:outlineLvl w:val="1"/>
    </w:pPr>
    <w:rPr>
      <w:rFonts w:ascii="Times New Roman" w:eastAsia="Times New Roman" w:hAnsi="Times New Roman" w:cs="Times New Roma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1553"/>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70F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0FEA"/>
    <w:rPr>
      <w:rFonts w:ascii="Times New Roman" w:hAnsi="Times New Roman" w:cs="Times New Roman"/>
      <w:sz w:val="18"/>
      <w:szCs w:val="18"/>
    </w:rPr>
  </w:style>
  <w:style w:type="character" w:customStyle="1" w:styleId="Heading2Char">
    <w:name w:val="Heading 2 Char"/>
    <w:basedOn w:val="DefaultParagraphFont"/>
    <w:link w:val="Heading2"/>
    <w:uiPriority w:val="9"/>
    <w:rsid w:val="009D0D0A"/>
    <w:rPr>
      <w:rFonts w:ascii="Times New Roman" w:eastAsia="Times New Roman" w:hAnsi="Times New Roman" w:cs="Times New Roman"/>
      <w:b/>
      <w:bCs/>
      <w:sz w:val="36"/>
      <w:szCs w:val="36"/>
      <w:lang w:eastAsia="zh-CN"/>
    </w:rPr>
  </w:style>
  <w:style w:type="paragraph" w:customStyle="1" w:styleId="citation">
    <w:name w:val="citation"/>
    <w:basedOn w:val="Normal"/>
    <w:rsid w:val="009D0D0A"/>
    <w:pPr>
      <w:spacing w:before="100" w:beforeAutospacing="1" w:after="100" w:afterAutospacing="1"/>
    </w:pPr>
    <w:rPr>
      <w:rFonts w:ascii="Times New Roman" w:eastAsia="Times New Roman" w:hAnsi="Times New Roman" w:cs="Times New Roman"/>
      <w:lang w:eastAsia="zh-CN"/>
    </w:rPr>
  </w:style>
  <w:style w:type="character" w:styleId="Hyperlink">
    <w:name w:val="Hyperlink"/>
    <w:basedOn w:val="DefaultParagraphFont"/>
    <w:uiPriority w:val="99"/>
    <w:semiHidden/>
    <w:unhideWhenUsed/>
    <w:rsid w:val="009D0D0A"/>
    <w:rPr>
      <w:color w:val="0000FF"/>
      <w:u w:val="single"/>
    </w:rPr>
  </w:style>
  <w:style w:type="character" w:styleId="Strong">
    <w:name w:val="Strong"/>
    <w:basedOn w:val="DefaultParagraphFont"/>
    <w:uiPriority w:val="22"/>
    <w:qFormat/>
    <w:rsid w:val="009D0D0A"/>
    <w:rPr>
      <w:b/>
      <w:bCs/>
    </w:rPr>
  </w:style>
  <w:style w:type="paragraph" w:customStyle="1" w:styleId="indent1">
    <w:name w:val="indent1"/>
    <w:basedOn w:val="Normal"/>
    <w:rsid w:val="009D0D0A"/>
    <w:pPr>
      <w:spacing w:before="100" w:beforeAutospacing="1" w:after="100" w:afterAutospacing="1"/>
    </w:pPr>
    <w:rPr>
      <w:rFonts w:ascii="Times New Roman" w:eastAsia="Times New Roman" w:hAnsi="Times New Roman" w:cs="Times New Roman"/>
      <w:lang w:eastAsia="zh-CN"/>
    </w:rPr>
  </w:style>
  <w:style w:type="character" w:styleId="Emphasis">
    <w:name w:val="Emphasis"/>
    <w:basedOn w:val="DefaultParagraphFont"/>
    <w:uiPriority w:val="20"/>
    <w:qFormat/>
    <w:rsid w:val="009D0D0A"/>
    <w:rPr>
      <w:i/>
      <w:iCs/>
    </w:rPr>
  </w:style>
  <w:style w:type="character" w:customStyle="1" w:styleId="Heading1Char">
    <w:name w:val="Heading 1 Char"/>
    <w:basedOn w:val="DefaultParagraphFont"/>
    <w:link w:val="Heading1"/>
    <w:uiPriority w:val="9"/>
    <w:rsid w:val="00E17245"/>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8B6E84"/>
  </w:style>
  <w:style w:type="character" w:styleId="CommentReference">
    <w:name w:val="annotation reference"/>
    <w:basedOn w:val="DefaultParagraphFont"/>
    <w:uiPriority w:val="99"/>
    <w:semiHidden/>
    <w:unhideWhenUsed/>
    <w:rsid w:val="008B6E84"/>
    <w:rPr>
      <w:sz w:val="16"/>
      <w:szCs w:val="16"/>
    </w:rPr>
  </w:style>
  <w:style w:type="paragraph" w:styleId="CommentText">
    <w:name w:val="annotation text"/>
    <w:basedOn w:val="Normal"/>
    <w:link w:val="CommentTextChar"/>
    <w:uiPriority w:val="99"/>
    <w:unhideWhenUsed/>
    <w:rsid w:val="008B6E84"/>
    <w:rPr>
      <w:sz w:val="20"/>
      <w:szCs w:val="20"/>
    </w:rPr>
  </w:style>
  <w:style w:type="character" w:customStyle="1" w:styleId="CommentTextChar">
    <w:name w:val="Comment Text Char"/>
    <w:basedOn w:val="DefaultParagraphFont"/>
    <w:link w:val="CommentText"/>
    <w:uiPriority w:val="99"/>
    <w:rsid w:val="008B6E84"/>
    <w:rPr>
      <w:sz w:val="20"/>
      <w:szCs w:val="20"/>
    </w:rPr>
  </w:style>
  <w:style w:type="paragraph" w:styleId="CommentSubject">
    <w:name w:val="annotation subject"/>
    <w:basedOn w:val="CommentText"/>
    <w:next w:val="CommentText"/>
    <w:link w:val="CommentSubjectChar"/>
    <w:uiPriority w:val="99"/>
    <w:semiHidden/>
    <w:unhideWhenUsed/>
    <w:rsid w:val="008B6E84"/>
    <w:rPr>
      <w:b/>
      <w:bCs/>
    </w:rPr>
  </w:style>
  <w:style w:type="character" w:customStyle="1" w:styleId="CommentSubjectChar">
    <w:name w:val="Comment Subject Char"/>
    <w:basedOn w:val="CommentTextChar"/>
    <w:link w:val="CommentSubject"/>
    <w:uiPriority w:val="99"/>
    <w:semiHidden/>
    <w:rsid w:val="008B6E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3553">
      <w:bodyDiv w:val="1"/>
      <w:marLeft w:val="0"/>
      <w:marRight w:val="0"/>
      <w:marTop w:val="0"/>
      <w:marBottom w:val="0"/>
      <w:divBdr>
        <w:top w:val="none" w:sz="0" w:space="0" w:color="auto"/>
        <w:left w:val="none" w:sz="0" w:space="0" w:color="auto"/>
        <w:bottom w:val="none" w:sz="0" w:space="0" w:color="auto"/>
        <w:right w:val="none" w:sz="0" w:space="0" w:color="auto"/>
      </w:divBdr>
      <w:divsChild>
        <w:div w:id="707342089">
          <w:marLeft w:val="0"/>
          <w:marRight w:val="0"/>
          <w:marTop w:val="0"/>
          <w:marBottom w:val="0"/>
          <w:divBdr>
            <w:top w:val="none" w:sz="0" w:space="0" w:color="auto"/>
            <w:left w:val="none" w:sz="0" w:space="0" w:color="auto"/>
            <w:bottom w:val="none" w:sz="0" w:space="0" w:color="auto"/>
            <w:right w:val="none" w:sz="0" w:space="0" w:color="auto"/>
          </w:divBdr>
          <w:divsChild>
            <w:div w:id="2097241022">
              <w:marLeft w:val="0"/>
              <w:marRight w:val="0"/>
              <w:marTop w:val="0"/>
              <w:marBottom w:val="0"/>
              <w:divBdr>
                <w:top w:val="none" w:sz="0" w:space="0" w:color="auto"/>
                <w:left w:val="none" w:sz="0" w:space="0" w:color="auto"/>
                <w:bottom w:val="none" w:sz="0" w:space="0" w:color="auto"/>
                <w:right w:val="none" w:sz="0" w:space="0" w:color="auto"/>
              </w:divBdr>
              <w:divsChild>
                <w:div w:id="16613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0217">
      <w:bodyDiv w:val="1"/>
      <w:marLeft w:val="0"/>
      <w:marRight w:val="0"/>
      <w:marTop w:val="0"/>
      <w:marBottom w:val="0"/>
      <w:divBdr>
        <w:top w:val="none" w:sz="0" w:space="0" w:color="auto"/>
        <w:left w:val="none" w:sz="0" w:space="0" w:color="auto"/>
        <w:bottom w:val="none" w:sz="0" w:space="0" w:color="auto"/>
        <w:right w:val="none" w:sz="0" w:space="0" w:color="auto"/>
      </w:divBdr>
      <w:divsChild>
        <w:div w:id="876242166">
          <w:marLeft w:val="0"/>
          <w:marRight w:val="0"/>
          <w:marTop w:val="0"/>
          <w:marBottom w:val="0"/>
          <w:divBdr>
            <w:top w:val="none" w:sz="0" w:space="0" w:color="auto"/>
            <w:left w:val="none" w:sz="0" w:space="0" w:color="auto"/>
            <w:bottom w:val="none" w:sz="0" w:space="0" w:color="auto"/>
            <w:right w:val="none" w:sz="0" w:space="0" w:color="auto"/>
          </w:divBdr>
        </w:div>
        <w:div w:id="1411387920">
          <w:marLeft w:val="0"/>
          <w:marRight w:val="0"/>
          <w:marTop w:val="0"/>
          <w:marBottom w:val="0"/>
          <w:divBdr>
            <w:top w:val="none" w:sz="0" w:space="0" w:color="auto"/>
            <w:left w:val="none" w:sz="0" w:space="0" w:color="auto"/>
            <w:bottom w:val="none" w:sz="0" w:space="0" w:color="auto"/>
            <w:right w:val="none" w:sz="0" w:space="0" w:color="auto"/>
          </w:divBdr>
        </w:div>
      </w:divsChild>
    </w:div>
    <w:div w:id="276331139">
      <w:bodyDiv w:val="1"/>
      <w:marLeft w:val="0"/>
      <w:marRight w:val="0"/>
      <w:marTop w:val="0"/>
      <w:marBottom w:val="0"/>
      <w:divBdr>
        <w:top w:val="none" w:sz="0" w:space="0" w:color="auto"/>
        <w:left w:val="none" w:sz="0" w:space="0" w:color="auto"/>
        <w:bottom w:val="none" w:sz="0" w:space="0" w:color="auto"/>
        <w:right w:val="none" w:sz="0" w:space="0" w:color="auto"/>
      </w:divBdr>
    </w:div>
    <w:div w:id="302124773">
      <w:bodyDiv w:val="1"/>
      <w:marLeft w:val="0"/>
      <w:marRight w:val="0"/>
      <w:marTop w:val="0"/>
      <w:marBottom w:val="0"/>
      <w:divBdr>
        <w:top w:val="none" w:sz="0" w:space="0" w:color="auto"/>
        <w:left w:val="none" w:sz="0" w:space="0" w:color="auto"/>
        <w:bottom w:val="none" w:sz="0" w:space="0" w:color="auto"/>
        <w:right w:val="none" w:sz="0" w:space="0" w:color="auto"/>
      </w:divBdr>
      <w:divsChild>
        <w:div w:id="1007369437">
          <w:marLeft w:val="0"/>
          <w:marRight w:val="0"/>
          <w:marTop w:val="0"/>
          <w:marBottom w:val="0"/>
          <w:divBdr>
            <w:top w:val="none" w:sz="0" w:space="0" w:color="auto"/>
            <w:left w:val="none" w:sz="0" w:space="0" w:color="auto"/>
            <w:bottom w:val="none" w:sz="0" w:space="0" w:color="auto"/>
            <w:right w:val="none" w:sz="0" w:space="0" w:color="auto"/>
          </w:divBdr>
        </w:div>
      </w:divsChild>
    </w:div>
    <w:div w:id="360711085">
      <w:bodyDiv w:val="1"/>
      <w:marLeft w:val="0"/>
      <w:marRight w:val="0"/>
      <w:marTop w:val="0"/>
      <w:marBottom w:val="0"/>
      <w:divBdr>
        <w:top w:val="none" w:sz="0" w:space="0" w:color="auto"/>
        <w:left w:val="none" w:sz="0" w:space="0" w:color="auto"/>
        <w:bottom w:val="none" w:sz="0" w:space="0" w:color="auto"/>
        <w:right w:val="none" w:sz="0" w:space="0" w:color="auto"/>
      </w:divBdr>
      <w:divsChild>
        <w:div w:id="1860504794">
          <w:marLeft w:val="0"/>
          <w:marRight w:val="0"/>
          <w:marTop w:val="0"/>
          <w:marBottom w:val="0"/>
          <w:divBdr>
            <w:top w:val="none" w:sz="0" w:space="0" w:color="auto"/>
            <w:left w:val="none" w:sz="0" w:space="0" w:color="auto"/>
            <w:bottom w:val="none" w:sz="0" w:space="0" w:color="auto"/>
            <w:right w:val="none" w:sz="0" w:space="0" w:color="auto"/>
          </w:divBdr>
          <w:divsChild>
            <w:div w:id="604307642">
              <w:marLeft w:val="0"/>
              <w:marRight w:val="0"/>
              <w:marTop w:val="0"/>
              <w:marBottom w:val="0"/>
              <w:divBdr>
                <w:top w:val="none" w:sz="0" w:space="0" w:color="auto"/>
                <w:left w:val="none" w:sz="0" w:space="0" w:color="auto"/>
                <w:bottom w:val="none" w:sz="0" w:space="0" w:color="auto"/>
                <w:right w:val="none" w:sz="0" w:space="0" w:color="auto"/>
              </w:divBdr>
              <w:divsChild>
                <w:div w:id="1703625046">
                  <w:marLeft w:val="0"/>
                  <w:marRight w:val="0"/>
                  <w:marTop w:val="0"/>
                  <w:marBottom w:val="0"/>
                  <w:divBdr>
                    <w:top w:val="none" w:sz="0" w:space="0" w:color="auto"/>
                    <w:left w:val="none" w:sz="0" w:space="0" w:color="auto"/>
                    <w:bottom w:val="none" w:sz="0" w:space="0" w:color="auto"/>
                    <w:right w:val="none" w:sz="0" w:space="0" w:color="auto"/>
                  </w:divBdr>
                </w:div>
              </w:divsChild>
            </w:div>
            <w:div w:id="957103511">
              <w:marLeft w:val="0"/>
              <w:marRight w:val="0"/>
              <w:marTop w:val="0"/>
              <w:marBottom w:val="0"/>
              <w:divBdr>
                <w:top w:val="none" w:sz="0" w:space="0" w:color="auto"/>
                <w:left w:val="none" w:sz="0" w:space="0" w:color="auto"/>
                <w:bottom w:val="none" w:sz="0" w:space="0" w:color="auto"/>
                <w:right w:val="none" w:sz="0" w:space="0" w:color="auto"/>
              </w:divBdr>
              <w:divsChild>
                <w:div w:id="1935436866">
                  <w:marLeft w:val="0"/>
                  <w:marRight w:val="0"/>
                  <w:marTop w:val="0"/>
                  <w:marBottom w:val="0"/>
                  <w:divBdr>
                    <w:top w:val="none" w:sz="0" w:space="0" w:color="auto"/>
                    <w:left w:val="none" w:sz="0" w:space="0" w:color="auto"/>
                    <w:bottom w:val="none" w:sz="0" w:space="0" w:color="auto"/>
                    <w:right w:val="none" w:sz="0" w:space="0" w:color="auto"/>
                  </w:divBdr>
                </w:div>
              </w:divsChild>
            </w:div>
            <w:div w:id="2098672620">
              <w:marLeft w:val="0"/>
              <w:marRight w:val="0"/>
              <w:marTop w:val="0"/>
              <w:marBottom w:val="0"/>
              <w:divBdr>
                <w:top w:val="none" w:sz="0" w:space="0" w:color="auto"/>
                <w:left w:val="none" w:sz="0" w:space="0" w:color="auto"/>
                <w:bottom w:val="none" w:sz="0" w:space="0" w:color="auto"/>
                <w:right w:val="none" w:sz="0" w:space="0" w:color="auto"/>
              </w:divBdr>
              <w:divsChild>
                <w:div w:id="1821575959">
                  <w:marLeft w:val="0"/>
                  <w:marRight w:val="0"/>
                  <w:marTop w:val="0"/>
                  <w:marBottom w:val="0"/>
                  <w:divBdr>
                    <w:top w:val="none" w:sz="0" w:space="0" w:color="auto"/>
                    <w:left w:val="none" w:sz="0" w:space="0" w:color="auto"/>
                    <w:bottom w:val="none" w:sz="0" w:space="0" w:color="auto"/>
                    <w:right w:val="none" w:sz="0" w:space="0" w:color="auto"/>
                  </w:divBdr>
                </w:div>
              </w:divsChild>
            </w:div>
            <w:div w:id="1737703413">
              <w:marLeft w:val="0"/>
              <w:marRight w:val="0"/>
              <w:marTop w:val="0"/>
              <w:marBottom w:val="0"/>
              <w:divBdr>
                <w:top w:val="none" w:sz="0" w:space="0" w:color="auto"/>
                <w:left w:val="none" w:sz="0" w:space="0" w:color="auto"/>
                <w:bottom w:val="none" w:sz="0" w:space="0" w:color="auto"/>
                <w:right w:val="none" w:sz="0" w:space="0" w:color="auto"/>
              </w:divBdr>
              <w:divsChild>
                <w:div w:id="139810831">
                  <w:marLeft w:val="0"/>
                  <w:marRight w:val="0"/>
                  <w:marTop w:val="0"/>
                  <w:marBottom w:val="0"/>
                  <w:divBdr>
                    <w:top w:val="none" w:sz="0" w:space="0" w:color="auto"/>
                    <w:left w:val="none" w:sz="0" w:space="0" w:color="auto"/>
                    <w:bottom w:val="none" w:sz="0" w:space="0" w:color="auto"/>
                    <w:right w:val="none" w:sz="0" w:space="0" w:color="auto"/>
                  </w:divBdr>
                </w:div>
              </w:divsChild>
            </w:div>
            <w:div w:id="527304190">
              <w:marLeft w:val="0"/>
              <w:marRight w:val="0"/>
              <w:marTop w:val="0"/>
              <w:marBottom w:val="0"/>
              <w:divBdr>
                <w:top w:val="none" w:sz="0" w:space="0" w:color="auto"/>
                <w:left w:val="none" w:sz="0" w:space="0" w:color="auto"/>
                <w:bottom w:val="none" w:sz="0" w:space="0" w:color="auto"/>
                <w:right w:val="none" w:sz="0" w:space="0" w:color="auto"/>
              </w:divBdr>
              <w:divsChild>
                <w:div w:id="11510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4891">
      <w:bodyDiv w:val="1"/>
      <w:marLeft w:val="0"/>
      <w:marRight w:val="0"/>
      <w:marTop w:val="0"/>
      <w:marBottom w:val="0"/>
      <w:divBdr>
        <w:top w:val="none" w:sz="0" w:space="0" w:color="auto"/>
        <w:left w:val="none" w:sz="0" w:space="0" w:color="auto"/>
        <w:bottom w:val="none" w:sz="0" w:space="0" w:color="auto"/>
        <w:right w:val="none" w:sz="0" w:space="0" w:color="auto"/>
      </w:divBdr>
    </w:div>
    <w:div w:id="502208086">
      <w:bodyDiv w:val="1"/>
      <w:marLeft w:val="0"/>
      <w:marRight w:val="0"/>
      <w:marTop w:val="0"/>
      <w:marBottom w:val="0"/>
      <w:divBdr>
        <w:top w:val="none" w:sz="0" w:space="0" w:color="auto"/>
        <w:left w:val="none" w:sz="0" w:space="0" w:color="auto"/>
        <w:bottom w:val="none" w:sz="0" w:space="0" w:color="auto"/>
        <w:right w:val="none" w:sz="0" w:space="0" w:color="auto"/>
      </w:divBdr>
      <w:divsChild>
        <w:div w:id="308246460">
          <w:marLeft w:val="0"/>
          <w:marRight w:val="0"/>
          <w:marTop w:val="0"/>
          <w:marBottom w:val="0"/>
          <w:divBdr>
            <w:top w:val="none" w:sz="0" w:space="0" w:color="auto"/>
            <w:left w:val="none" w:sz="0" w:space="0" w:color="auto"/>
            <w:bottom w:val="none" w:sz="0" w:space="0" w:color="auto"/>
            <w:right w:val="none" w:sz="0" w:space="0" w:color="auto"/>
          </w:divBdr>
          <w:divsChild>
            <w:div w:id="226646646">
              <w:marLeft w:val="0"/>
              <w:marRight w:val="0"/>
              <w:marTop w:val="0"/>
              <w:marBottom w:val="0"/>
              <w:divBdr>
                <w:top w:val="none" w:sz="0" w:space="0" w:color="auto"/>
                <w:left w:val="none" w:sz="0" w:space="0" w:color="auto"/>
                <w:bottom w:val="none" w:sz="0" w:space="0" w:color="auto"/>
                <w:right w:val="none" w:sz="0" w:space="0" w:color="auto"/>
              </w:divBdr>
              <w:divsChild>
                <w:div w:id="14662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29069">
      <w:bodyDiv w:val="1"/>
      <w:marLeft w:val="0"/>
      <w:marRight w:val="0"/>
      <w:marTop w:val="0"/>
      <w:marBottom w:val="0"/>
      <w:divBdr>
        <w:top w:val="none" w:sz="0" w:space="0" w:color="auto"/>
        <w:left w:val="none" w:sz="0" w:space="0" w:color="auto"/>
        <w:bottom w:val="none" w:sz="0" w:space="0" w:color="auto"/>
        <w:right w:val="none" w:sz="0" w:space="0" w:color="auto"/>
      </w:divBdr>
      <w:divsChild>
        <w:div w:id="684131276">
          <w:marLeft w:val="0"/>
          <w:marRight w:val="0"/>
          <w:marTop w:val="0"/>
          <w:marBottom w:val="0"/>
          <w:divBdr>
            <w:top w:val="none" w:sz="0" w:space="0" w:color="auto"/>
            <w:left w:val="none" w:sz="0" w:space="0" w:color="auto"/>
            <w:bottom w:val="none" w:sz="0" w:space="0" w:color="auto"/>
            <w:right w:val="none" w:sz="0" w:space="0" w:color="auto"/>
          </w:divBdr>
          <w:divsChild>
            <w:div w:id="643973609">
              <w:marLeft w:val="0"/>
              <w:marRight w:val="0"/>
              <w:marTop w:val="0"/>
              <w:marBottom w:val="0"/>
              <w:divBdr>
                <w:top w:val="none" w:sz="0" w:space="0" w:color="auto"/>
                <w:left w:val="none" w:sz="0" w:space="0" w:color="auto"/>
                <w:bottom w:val="none" w:sz="0" w:space="0" w:color="auto"/>
                <w:right w:val="none" w:sz="0" w:space="0" w:color="auto"/>
              </w:divBdr>
              <w:divsChild>
                <w:div w:id="4816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89626">
      <w:bodyDiv w:val="1"/>
      <w:marLeft w:val="0"/>
      <w:marRight w:val="0"/>
      <w:marTop w:val="0"/>
      <w:marBottom w:val="0"/>
      <w:divBdr>
        <w:top w:val="none" w:sz="0" w:space="0" w:color="auto"/>
        <w:left w:val="none" w:sz="0" w:space="0" w:color="auto"/>
        <w:bottom w:val="none" w:sz="0" w:space="0" w:color="auto"/>
        <w:right w:val="none" w:sz="0" w:space="0" w:color="auto"/>
      </w:divBdr>
      <w:divsChild>
        <w:div w:id="871377282">
          <w:marLeft w:val="0"/>
          <w:marRight w:val="0"/>
          <w:marTop w:val="0"/>
          <w:marBottom w:val="0"/>
          <w:divBdr>
            <w:top w:val="none" w:sz="0" w:space="0" w:color="auto"/>
            <w:left w:val="none" w:sz="0" w:space="0" w:color="auto"/>
            <w:bottom w:val="none" w:sz="0" w:space="0" w:color="auto"/>
            <w:right w:val="none" w:sz="0" w:space="0" w:color="auto"/>
          </w:divBdr>
        </w:div>
        <w:div w:id="582228348">
          <w:marLeft w:val="0"/>
          <w:marRight w:val="0"/>
          <w:marTop w:val="0"/>
          <w:marBottom w:val="0"/>
          <w:divBdr>
            <w:top w:val="none" w:sz="0" w:space="0" w:color="auto"/>
            <w:left w:val="none" w:sz="0" w:space="0" w:color="auto"/>
            <w:bottom w:val="none" w:sz="0" w:space="0" w:color="auto"/>
            <w:right w:val="none" w:sz="0" w:space="0" w:color="auto"/>
          </w:divBdr>
        </w:div>
        <w:div w:id="771627225">
          <w:marLeft w:val="0"/>
          <w:marRight w:val="0"/>
          <w:marTop w:val="0"/>
          <w:marBottom w:val="0"/>
          <w:divBdr>
            <w:top w:val="none" w:sz="0" w:space="0" w:color="auto"/>
            <w:left w:val="none" w:sz="0" w:space="0" w:color="auto"/>
            <w:bottom w:val="none" w:sz="0" w:space="0" w:color="auto"/>
            <w:right w:val="none" w:sz="0" w:space="0" w:color="auto"/>
          </w:divBdr>
        </w:div>
        <w:div w:id="1282494767">
          <w:marLeft w:val="0"/>
          <w:marRight w:val="0"/>
          <w:marTop w:val="0"/>
          <w:marBottom w:val="0"/>
          <w:divBdr>
            <w:top w:val="none" w:sz="0" w:space="0" w:color="auto"/>
            <w:left w:val="none" w:sz="0" w:space="0" w:color="auto"/>
            <w:bottom w:val="none" w:sz="0" w:space="0" w:color="auto"/>
            <w:right w:val="none" w:sz="0" w:space="0" w:color="auto"/>
          </w:divBdr>
        </w:div>
        <w:div w:id="716510894">
          <w:marLeft w:val="0"/>
          <w:marRight w:val="0"/>
          <w:marTop w:val="0"/>
          <w:marBottom w:val="0"/>
          <w:divBdr>
            <w:top w:val="none" w:sz="0" w:space="0" w:color="auto"/>
            <w:left w:val="none" w:sz="0" w:space="0" w:color="auto"/>
            <w:bottom w:val="none" w:sz="0" w:space="0" w:color="auto"/>
            <w:right w:val="none" w:sz="0" w:space="0" w:color="auto"/>
          </w:divBdr>
        </w:div>
      </w:divsChild>
    </w:div>
    <w:div w:id="671177540">
      <w:bodyDiv w:val="1"/>
      <w:marLeft w:val="0"/>
      <w:marRight w:val="0"/>
      <w:marTop w:val="0"/>
      <w:marBottom w:val="0"/>
      <w:divBdr>
        <w:top w:val="none" w:sz="0" w:space="0" w:color="auto"/>
        <w:left w:val="none" w:sz="0" w:space="0" w:color="auto"/>
        <w:bottom w:val="none" w:sz="0" w:space="0" w:color="auto"/>
        <w:right w:val="none" w:sz="0" w:space="0" w:color="auto"/>
      </w:divBdr>
      <w:divsChild>
        <w:div w:id="95103660">
          <w:marLeft w:val="0"/>
          <w:marRight w:val="0"/>
          <w:marTop w:val="0"/>
          <w:marBottom w:val="0"/>
          <w:divBdr>
            <w:top w:val="none" w:sz="0" w:space="0" w:color="auto"/>
            <w:left w:val="none" w:sz="0" w:space="0" w:color="auto"/>
            <w:bottom w:val="none" w:sz="0" w:space="0" w:color="auto"/>
            <w:right w:val="none" w:sz="0" w:space="0" w:color="auto"/>
          </w:divBdr>
          <w:divsChild>
            <w:div w:id="76367874">
              <w:marLeft w:val="0"/>
              <w:marRight w:val="0"/>
              <w:marTop w:val="0"/>
              <w:marBottom w:val="0"/>
              <w:divBdr>
                <w:top w:val="none" w:sz="0" w:space="0" w:color="auto"/>
                <w:left w:val="none" w:sz="0" w:space="0" w:color="auto"/>
                <w:bottom w:val="none" w:sz="0" w:space="0" w:color="auto"/>
                <w:right w:val="none" w:sz="0" w:space="0" w:color="auto"/>
              </w:divBdr>
              <w:divsChild>
                <w:div w:id="4537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50008">
      <w:bodyDiv w:val="1"/>
      <w:marLeft w:val="0"/>
      <w:marRight w:val="0"/>
      <w:marTop w:val="0"/>
      <w:marBottom w:val="0"/>
      <w:divBdr>
        <w:top w:val="none" w:sz="0" w:space="0" w:color="auto"/>
        <w:left w:val="none" w:sz="0" w:space="0" w:color="auto"/>
        <w:bottom w:val="none" w:sz="0" w:space="0" w:color="auto"/>
        <w:right w:val="none" w:sz="0" w:space="0" w:color="auto"/>
      </w:divBdr>
      <w:divsChild>
        <w:div w:id="1452942280">
          <w:marLeft w:val="0"/>
          <w:marRight w:val="0"/>
          <w:marTop w:val="0"/>
          <w:marBottom w:val="0"/>
          <w:divBdr>
            <w:top w:val="none" w:sz="0" w:space="0" w:color="auto"/>
            <w:left w:val="none" w:sz="0" w:space="0" w:color="auto"/>
            <w:bottom w:val="none" w:sz="0" w:space="0" w:color="auto"/>
            <w:right w:val="none" w:sz="0" w:space="0" w:color="auto"/>
          </w:divBdr>
          <w:divsChild>
            <w:div w:id="1224292858">
              <w:marLeft w:val="0"/>
              <w:marRight w:val="0"/>
              <w:marTop w:val="0"/>
              <w:marBottom w:val="0"/>
              <w:divBdr>
                <w:top w:val="none" w:sz="0" w:space="0" w:color="auto"/>
                <w:left w:val="none" w:sz="0" w:space="0" w:color="auto"/>
                <w:bottom w:val="none" w:sz="0" w:space="0" w:color="auto"/>
                <w:right w:val="none" w:sz="0" w:space="0" w:color="auto"/>
              </w:divBdr>
              <w:divsChild>
                <w:div w:id="19179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04499">
      <w:bodyDiv w:val="1"/>
      <w:marLeft w:val="0"/>
      <w:marRight w:val="0"/>
      <w:marTop w:val="0"/>
      <w:marBottom w:val="0"/>
      <w:divBdr>
        <w:top w:val="none" w:sz="0" w:space="0" w:color="auto"/>
        <w:left w:val="none" w:sz="0" w:space="0" w:color="auto"/>
        <w:bottom w:val="none" w:sz="0" w:space="0" w:color="auto"/>
        <w:right w:val="none" w:sz="0" w:space="0" w:color="auto"/>
      </w:divBdr>
      <w:divsChild>
        <w:div w:id="1746995032">
          <w:marLeft w:val="0"/>
          <w:marRight w:val="0"/>
          <w:marTop w:val="0"/>
          <w:marBottom w:val="0"/>
          <w:divBdr>
            <w:top w:val="none" w:sz="0" w:space="0" w:color="auto"/>
            <w:left w:val="none" w:sz="0" w:space="0" w:color="auto"/>
            <w:bottom w:val="none" w:sz="0" w:space="0" w:color="auto"/>
            <w:right w:val="none" w:sz="0" w:space="0" w:color="auto"/>
          </w:divBdr>
          <w:divsChild>
            <w:div w:id="235284622">
              <w:marLeft w:val="0"/>
              <w:marRight w:val="0"/>
              <w:marTop w:val="0"/>
              <w:marBottom w:val="0"/>
              <w:divBdr>
                <w:top w:val="none" w:sz="0" w:space="0" w:color="auto"/>
                <w:left w:val="none" w:sz="0" w:space="0" w:color="auto"/>
                <w:bottom w:val="none" w:sz="0" w:space="0" w:color="auto"/>
                <w:right w:val="none" w:sz="0" w:space="0" w:color="auto"/>
              </w:divBdr>
              <w:divsChild>
                <w:div w:id="10932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3635">
      <w:bodyDiv w:val="1"/>
      <w:marLeft w:val="0"/>
      <w:marRight w:val="0"/>
      <w:marTop w:val="0"/>
      <w:marBottom w:val="0"/>
      <w:divBdr>
        <w:top w:val="none" w:sz="0" w:space="0" w:color="auto"/>
        <w:left w:val="none" w:sz="0" w:space="0" w:color="auto"/>
        <w:bottom w:val="none" w:sz="0" w:space="0" w:color="auto"/>
        <w:right w:val="none" w:sz="0" w:space="0" w:color="auto"/>
      </w:divBdr>
      <w:divsChild>
        <w:div w:id="1973441561">
          <w:marLeft w:val="0"/>
          <w:marRight w:val="0"/>
          <w:marTop w:val="0"/>
          <w:marBottom w:val="0"/>
          <w:divBdr>
            <w:top w:val="none" w:sz="0" w:space="0" w:color="auto"/>
            <w:left w:val="none" w:sz="0" w:space="0" w:color="auto"/>
            <w:bottom w:val="none" w:sz="0" w:space="0" w:color="auto"/>
            <w:right w:val="none" w:sz="0" w:space="0" w:color="auto"/>
          </w:divBdr>
          <w:divsChild>
            <w:div w:id="1587961272">
              <w:marLeft w:val="0"/>
              <w:marRight w:val="0"/>
              <w:marTop w:val="0"/>
              <w:marBottom w:val="0"/>
              <w:divBdr>
                <w:top w:val="none" w:sz="0" w:space="0" w:color="auto"/>
                <w:left w:val="none" w:sz="0" w:space="0" w:color="auto"/>
                <w:bottom w:val="none" w:sz="0" w:space="0" w:color="auto"/>
                <w:right w:val="none" w:sz="0" w:space="0" w:color="auto"/>
              </w:divBdr>
              <w:divsChild>
                <w:div w:id="14797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7060">
      <w:bodyDiv w:val="1"/>
      <w:marLeft w:val="0"/>
      <w:marRight w:val="0"/>
      <w:marTop w:val="0"/>
      <w:marBottom w:val="0"/>
      <w:divBdr>
        <w:top w:val="none" w:sz="0" w:space="0" w:color="auto"/>
        <w:left w:val="none" w:sz="0" w:space="0" w:color="auto"/>
        <w:bottom w:val="none" w:sz="0" w:space="0" w:color="auto"/>
        <w:right w:val="none" w:sz="0" w:space="0" w:color="auto"/>
      </w:divBdr>
    </w:div>
    <w:div w:id="1871839427">
      <w:bodyDiv w:val="1"/>
      <w:marLeft w:val="0"/>
      <w:marRight w:val="0"/>
      <w:marTop w:val="0"/>
      <w:marBottom w:val="0"/>
      <w:divBdr>
        <w:top w:val="none" w:sz="0" w:space="0" w:color="auto"/>
        <w:left w:val="none" w:sz="0" w:space="0" w:color="auto"/>
        <w:bottom w:val="none" w:sz="0" w:space="0" w:color="auto"/>
        <w:right w:val="none" w:sz="0" w:space="0" w:color="auto"/>
      </w:divBdr>
      <w:divsChild>
        <w:div w:id="1843429318">
          <w:marLeft w:val="0"/>
          <w:marRight w:val="0"/>
          <w:marTop w:val="0"/>
          <w:marBottom w:val="0"/>
          <w:divBdr>
            <w:top w:val="none" w:sz="0" w:space="0" w:color="auto"/>
            <w:left w:val="none" w:sz="0" w:space="0" w:color="auto"/>
            <w:bottom w:val="none" w:sz="0" w:space="0" w:color="auto"/>
            <w:right w:val="none" w:sz="0" w:space="0" w:color="auto"/>
          </w:divBdr>
          <w:divsChild>
            <w:div w:id="2073963946">
              <w:marLeft w:val="0"/>
              <w:marRight w:val="0"/>
              <w:marTop w:val="0"/>
              <w:marBottom w:val="0"/>
              <w:divBdr>
                <w:top w:val="none" w:sz="0" w:space="0" w:color="auto"/>
                <w:left w:val="none" w:sz="0" w:space="0" w:color="auto"/>
                <w:bottom w:val="none" w:sz="0" w:space="0" w:color="auto"/>
                <w:right w:val="none" w:sz="0" w:space="0" w:color="auto"/>
              </w:divBdr>
              <w:divsChild>
                <w:div w:id="15272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48">
      <w:bodyDiv w:val="1"/>
      <w:marLeft w:val="0"/>
      <w:marRight w:val="0"/>
      <w:marTop w:val="0"/>
      <w:marBottom w:val="0"/>
      <w:divBdr>
        <w:top w:val="none" w:sz="0" w:space="0" w:color="auto"/>
        <w:left w:val="none" w:sz="0" w:space="0" w:color="auto"/>
        <w:bottom w:val="none" w:sz="0" w:space="0" w:color="auto"/>
        <w:right w:val="none" w:sz="0" w:space="0" w:color="auto"/>
      </w:divBdr>
      <w:divsChild>
        <w:div w:id="1223757721">
          <w:marLeft w:val="0"/>
          <w:marRight w:val="0"/>
          <w:marTop w:val="0"/>
          <w:marBottom w:val="0"/>
          <w:divBdr>
            <w:top w:val="none" w:sz="0" w:space="0" w:color="auto"/>
            <w:left w:val="none" w:sz="0" w:space="0" w:color="auto"/>
            <w:bottom w:val="none" w:sz="0" w:space="0" w:color="auto"/>
            <w:right w:val="none" w:sz="0" w:space="0" w:color="auto"/>
          </w:divBdr>
          <w:divsChild>
            <w:div w:id="234439940">
              <w:marLeft w:val="0"/>
              <w:marRight w:val="0"/>
              <w:marTop w:val="0"/>
              <w:marBottom w:val="0"/>
              <w:divBdr>
                <w:top w:val="none" w:sz="0" w:space="0" w:color="auto"/>
                <w:left w:val="none" w:sz="0" w:space="0" w:color="auto"/>
                <w:bottom w:val="none" w:sz="0" w:space="0" w:color="auto"/>
                <w:right w:val="none" w:sz="0" w:space="0" w:color="auto"/>
              </w:divBdr>
              <w:divsChild>
                <w:div w:id="4947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45047">
      <w:bodyDiv w:val="1"/>
      <w:marLeft w:val="0"/>
      <w:marRight w:val="0"/>
      <w:marTop w:val="0"/>
      <w:marBottom w:val="0"/>
      <w:divBdr>
        <w:top w:val="none" w:sz="0" w:space="0" w:color="auto"/>
        <w:left w:val="none" w:sz="0" w:space="0" w:color="auto"/>
        <w:bottom w:val="none" w:sz="0" w:space="0" w:color="auto"/>
        <w:right w:val="none" w:sz="0" w:space="0" w:color="auto"/>
      </w:divBdr>
      <w:divsChild>
        <w:div w:id="1503083437">
          <w:marLeft w:val="0"/>
          <w:marRight w:val="0"/>
          <w:marTop w:val="0"/>
          <w:marBottom w:val="0"/>
          <w:divBdr>
            <w:top w:val="none" w:sz="0" w:space="0" w:color="auto"/>
            <w:left w:val="none" w:sz="0" w:space="0" w:color="auto"/>
            <w:bottom w:val="none" w:sz="0" w:space="0" w:color="auto"/>
            <w:right w:val="none" w:sz="0" w:space="0" w:color="auto"/>
          </w:divBdr>
          <w:divsChild>
            <w:div w:id="1177815426">
              <w:marLeft w:val="0"/>
              <w:marRight w:val="0"/>
              <w:marTop w:val="0"/>
              <w:marBottom w:val="0"/>
              <w:divBdr>
                <w:top w:val="none" w:sz="0" w:space="0" w:color="auto"/>
                <w:left w:val="none" w:sz="0" w:space="0" w:color="auto"/>
                <w:bottom w:val="none" w:sz="0" w:space="0" w:color="auto"/>
                <w:right w:val="none" w:sz="0" w:space="0" w:color="auto"/>
              </w:divBdr>
              <w:divsChild>
                <w:div w:id="4895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5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ac.ornl.gov/above" TargetMode="External"/><Relationship Id="rId13" Type="http://schemas.openxmlformats.org/officeDocument/2006/relationships/hyperlink" Target="https://doi.org/10.3334/ORNLDAAC/1611" TargetMode="External"/><Relationship Id="rId18" Type="http://schemas.openxmlformats.org/officeDocument/2006/relationships/hyperlink" Target="http://www.nrcs.usda.gov/wps/portal/nrcs/ak/snow/" TargetMode="External"/><Relationship Id="rId26" Type="http://schemas.openxmlformats.org/officeDocument/2006/relationships/hyperlink" Target="https://doi.org/10.1109/TGRS.2015.2505677" TargetMode="Externa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hyperlink" Target="https://doi.org/10.3334/ORNLDAAC/1841" TargetMode="External"/><Relationship Id="rId12" Type="http://schemas.openxmlformats.org/officeDocument/2006/relationships/hyperlink" Target="https://doi.org/10.3334/ORNLDAAC/1527" TargetMode="External"/><Relationship Id="rId17" Type="http://schemas.openxmlformats.org/officeDocument/2006/relationships/hyperlink" Target="http://www.ncdc.noaa.gov/" TargetMode="External"/><Relationship Id="rId25" Type="http://schemas.openxmlformats.org/officeDocument/2006/relationships/hyperlink" Target="https://doi.org/10.3390/rs71012961" TargetMode="External"/><Relationship Id="rId2" Type="http://schemas.openxmlformats.org/officeDocument/2006/relationships/numbering" Target="numbering.xml"/><Relationship Id="rId16" Type="http://schemas.openxmlformats.org/officeDocument/2006/relationships/hyperlink" Target="https://doi.org/10.3334/ORNLDAAC/1528" TargetMode="External"/><Relationship Id="rId20" Type="http://schemas.openxmlformats.org/officeDocument/2006/relationships/hyperlink" Target="https://nsidc.org/pmesd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hyperlink" Target="https://doi.org/10.3334/ORNLDAAC/1362" TargetMode="External"/><Relationship Id="rId24" Type="http://schemas.openxmlformats.org/officeDocument/2006/relationships/hyperlink" Target="https://doi.org/10.5067/MEASURES/CRYOSPHERE/NSIDC-0630.001" TargetMode="External"/><Relationship Id="rId5" Type="http://schemas.openxmlformats.org/officeDocument/2006/relationships/webSettings" Target="webSettings.xml"/><Relationship Id="rId15" Type="http://schemas.openxmlformats.org/officeDocument/2006/relationships/hyperlink" Target="https://doi.org/10.3334/ORNLDAAC/1843" TargetMode="External"/><Relationship Id="rId23" Type="http://schemas.openxmlformats.org/officeDocument/2006/relationships/hyperlink" Target="mailto:uso@daac.ornl.gov" TargetMode="External"/><Relationship Id="rId28" Type="http://schemas.openxmlformats.org/officeDocument/2006/relationships/hyperlink" Target="https://doi.org/10.3390/rs13122284" TargetMode="External"/><Relationship Id="rId10" Type="http://schemas.openxmlformats.org/officeDocument/2006/relationships/hyperlink" Target="https://doi.org/10.3390/rs13122284" TargetMode="External"/><Relationship Id="rId19" Type="http://schemas.openxmlformats.org/officeDocument/2006/relationships/hyperlink" Target="http://www.ntsg.umt.edu/freeze-thaw/" TargetMode="External"/><Relationship Id="rId4" Type="http://schemas.openxmlformats.org/officeDocument/2006/relationships/settings" Target="settings.xml"/><Relationship Id="rId9" Type="http://schemas.openxmlformats.org/officeDocument/2006/relationships/hyperlink" Target="https://doi.org/10.3390/rs12010153" TargetMode="External"/><Relationship Id="rId14" Type="http://schemas.openxmlformats.org/officeDocument/2006/relationships/hyperlink" Target="https://doi.org/10.3334/ORNLDAAC/1711" TargetMode="External"/><Relationship Id="rId22" Type="http://schemas.openxmlformats.org/officeDocument/2006/relationships/hyperlink" Target="https://daac.ornl.gov/cgi-bin/dsviewer.pl?ds_id=1841" TargetMode="External"/><Relationship Id="rId27" Type="http://schemas.openxmlformats.org/officeDocument/2006/relationships/hyperlink" Target="https://doi.org/10.1088/1748-9326/aac9d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11949-1410-417E-B672-E1CE2B13F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2183</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Pan</dc:creator>
  <cp:keywords/>
  <dc:description/>
  <cp:lastModifiedBy>Du, Jinyang</cp:lastModifiedBy>
  <cp:revision>5</cp:revision>
  <cp:lastPrinted>2020-09-07T20:52:00Z</cp:lastPrinted>
  <dcterms:created xsi:type="dcterms:W3CDTF">2025-01-22T17:46:00Z</dcterms:created>
  <dcterms:modified xsi:type="dcterms:W3CDTF">2025-02-17T00:16:00Z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http://www.zotero.org/styles/environmental-research-letters</vt:lpwstr>
  </property>
  <property fmtid="{D5CDD505-2E9C-101B-9397-08002B2CF9AE}" pid="15" name="Mendeley Recent Style Name 6_1">
    <vt:lpwstr>Environmental Research Letters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b578695d-2434-3a11-8384-97c408675ed3</vt:lpwstr>
  </property>
  <property fmtid="{D5CDD505-2E9C-101B-9397-08002B2CF9AE}" pid="24" name="Mendeley Citation Style_1">
    <vt:lpwstr>http://www.zotero.org/styles/apa</vt:lpwstr>
  </property>
</Properties>
</file>