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9" w:rsidRPr="004F3B36" w:rsidRDefault="00F842A9" w:rsidP="004F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B36">
        <w:rPr>
          <w:rFonts w:ascii="Arial" w:hAnsi="Arial" w:cs="Arial"/>
          <w:b/>
          <w:sz w:val="24"/>
          <w:szCs w:val="24"/>
        </w:rPr>
        <w:t xml:space="preserve">Global Terrestrial Carbon Flux (TCF) model simulations from </w:t>
      </w:r>
      <w:r w:rsidR="009879E1">
        <w:rPr>
          <w:rFonts w:ascii="Arial" w:hAnsi="Arial" w:cs="Arial"/>
          <w:b/>
          <w:sz w:val="24"/>
          <w:szCs w:val="24"/>
        </w:rPr>
        <w:t>2000</w:t>
      </w:r>
      <w:r w:rsidRPr="004F3B36">
        <w:rPr>
          <w:rFonts w:ascii="Arial" w:hAnsi="Arial" w:cs="Arial"/>
          <w:b/>
          <w:sz w:val="24"/>
          <w:szCs w:val="24"/>
        </w:rPr>
        <w:t xml:space="preserve"> to </w:t>
      </w:r>
      <w:r w:rsidR="009879E1">
        <w:rPr>
          <w:rFonts w:ascii="Arial" w:hAnsi="Arial" w:cs="Arial"/>
          <w:b/>
          <w:sz w:val="24"/>
          <w:szCs w:val="24"/>
        </w:rPr>
        <w:t>2010</w:t>
      </w:r>
    </w:p>
    <w:p w:rsidR="00F842A9" w:rsidRDefault="00D82B91" w:rsidP="004F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 2</w:t>
      </w:r>
      <w:r w:rsidR="00F842A9" w:rsidRPr="004F3B36">
        <w:rPr>
          <w:rFonts w:ascii="Arial" w:hAnsi="Arial" w:cs="Arial"/>
          <w:b/>
          <w:sz w:val="24"/>
          <w:szCs w:val="24"/>
        </w:rPr>
        <w:t>.0</w:t>
      </w:r>
      <w:r w:rsidR="00F322B9">
        <w:rPr>
          <w:rFonts w:ascii="Arial" w:hAnsi="Arial" w:cs="Arial"/>
          <w:b/>
          <w:sz w:val="24"/>
          <w:szCs w:val="24"/>
        </w:rPr>
        <w:t xml:space="preserve"> 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Yonghong</w:t>
      </w:r>
      <w:proofErr w:type="spellEnd"/>
      <w:r>
        <w:rPr>
          <w:rFonts w:ascii="Arial" w:hAnsi="Arial" w:cs="Arial"/>
          <w:sz w:val="24"/>
          <w:szCs w:val="24"/>
        </w:rPr>
        <w:t xml:space="preserve"> Yi and John S. Kimball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Numerical </w:t>
      </w:r>
      <w:proofErr w:type="spellStart"/>
      <w:r>
        <w:rPr>
          <w:rFonts w:ascii="Arial" w:hAnsi="Arial" w:cs="Arial"/>
          <w:sz w:val="24"/>
          <w:szCs w:val="24"/>
        </w:rPr>
        <w:t>Terradynamic</w:t>
      </w:r>
      <w:proofErr w:type="spellEnd"/>
      <w:r>
        <w:rPr>
          <w:rFonts w:ascii="Arial" w:hAnsi="Arial" w:cs="Arial"/>
          <w:sz w:val="24"/>
          <w:szCs w:val="24"/>
        </w:rPr>
        <w:t xml:space="preserve"> Simulation Group (NTSG)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University</w:t>
          </w:r>
        </w:smartTag>
        <w:r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Montana</w:t>
          </w:r>
        </w:smartTag>
      </w:smartTag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Missoula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MT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59812</w:t>
          </w:r>
        </w:smartTag>
      </w:smartTag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616B0B">
          <w:rPr>
            <w:rStyle w:val="Hyperlink"/>
            <w:rFonts w:ascii="Arial" w:hAnsi="Arial" w:cs="Arial"/>
            <w:sz w:val="24"/>
            <w:szCs w:val="24"/>
          </w:rPr>
          <w:t>yonghong.yi@ntsg.umt.edu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8" w:history="1">
        <w:r w:rsidRPr="00616B0B">
          <w:rPr>
            <w:rStyle w:val="Hyperlink"/>
            <w:rFonts w:ascii="Arial" w:hAnsi="Arial" w:cs="Arial"/>
            <w:sz w:val="24"/>
            <w:szCs w:val="24"/>
          </w:rPr>
          <w:t>johnk@ntsg.umt.edu</w:t>
        </w:r>
      </w:hyperlink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URL: </w:t>
      </w:r>
      <w:hyperlink r:id="rId9" w:history="1">
        <w:r w:rsidRPr="00616B0B">
          <w:rPr>
            <w:rStyle w:val="Hyperlink"/>
            <w:rFonts w:ascii="Arial" w:hAnsi="Arial" w:cs="Arial"/>
            <w:sz w:val="24"/>
            <w:szCs w:val="24"/>
          </w:rPr>
          <w:t>http://ntsg.umt.edu</w:t>
        </w:r>
      </w:hyperlink>
    </w:p>
    <w:p w:rsidR="00F842A9" w:rsidRDefault="00FF1CA3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12/17/2012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B36">
        <w:rPr>
          <w:rFonts w:ascii="Arial" w:hAnsi="Arial" w:cs="Arial"/>
          <w:b/>
          <w:sz w:val="24"/>
          <w:szCs w:val="24"/>
        </w:rPr>
        <w:t>Data Description</w:t>
      </w:r>
      <w:r>
        <w:rPr>
          <w:rFonts w:ascii="Arial" w:hAnsi="Arial" w:cs="Arial"/>
          <w:sz w:val="24"/>
          <w:szCs w:val="24"/>
        </w:rPr>
        <w:t>: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data directory includes estimated cumulative monthly gross primary production (GPP), </w:t>
      </w:r>
      <w:r w:rsidR="00E70AF3">
        <w:rPr>
          <w:rFonts w:ascii="Arial" w:hAnsi="Arial" w:cs="Arial"/>
          <w:sz w:val="24"/>
          <w:szCs w:val="24"/>
        </w:rPr>
        <w:t>and</w:t>
      </w:r>
      <w:r w:rsidRPr="003F2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 ecosystem CO2 exchange (</w:t>
      </w:r>
      <w:r w:rsidRPr="003F21B1"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>)</w:t>
      </w:r>
      <w:r w:rsidRPr="003F21B1">
        <w:rPr>
          <w:rFonts w:ascii="Arial" w:hAnsi="Arial" w:cs="Arial"/>
          <w:sz w:val="24"/>
          <w:szCs w:val="24"/>
        </w:rPr>
        <w:t xml:space="preserve"> fluxes</w:t>
      </w:r>
      <w:r w:rsidR="00E70AF3">
        <w:rPr>
          <w:rFonts w:ascii="Arial" w:hAnsi="Arial" w:cs="Arial"/>
          <w:sz w:val="24"/>
          <w:szCs w:val="24"/>
        </w:rPr>
        <w:t xml:space="preserve"> at 1.0</w:t>
      </w:r>
      <w:r>
        <w:rPr>
          <w:rFonts w:ascii="Arial" w:hAnsi="Arial" w:cs="Arial"/>
          <w:sz w:val="24"/>
          <w:szCs w:val="24"/>
        </w:rPr>
        <w:t xml:space="preserve">° spatial resolution from </w:t>
      </w:r>
      <w:r w:rsidR="007260BC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to </w:t>
      </w:r>
      <w:r w:rsidR="007260BC">
        <w:rPr>
          <w:rFonts w:ascii="Arial" w:hAnsi="Arial" w:cs="Arial"/>
          <w:sz w:val="24"/>
          <w:szCs w:val="24"/>
        </w:rPr>
        <w:t>201</w:t>
      </w:r>
      <w:r w:rsidR="0004277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; all carbon flux units are in g</w:t>
      </w:r>
      <w:r w:rsidR="00E70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C/m</w:t>
      </w:r>
      <w:r w:rsidRPr="00E70AF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/month. The monthly carbon flux estimates are derived from daily simulations using a Terrestrial Carbon Flux </w:t>
      </w:r>
      <w:r w:rsidR="00057BEE">
        <w:rPr>
          <w:rFonts w:ascii="Arial" w:hAnsi="Arial" w:cs="Arial"/>
          <w:sz w:val="24"/>
          <w:szCs w:val="24"/>
        </w:rPr>
        <w:t>(TCF) model (Yi et al. 2012</w:t>
      </w:r>
      <w:r>
        <w:rPr>
          <w:rFonts w:ascii="Arial" w:hAnsi="Arial" w:cs="Arial"/>
          <w:sz w:val="24"/>
          <w:szCs w:val="24"/>
        </w:rPr>
        <w:t xml:space="preserve">). The TCF model is being used to develop an operational Level 4 carbon (L4_C) product for the NASA Soil Moisture Active Passive (SMAP) mission. Details of the TCF/L4_C algorithms and implementation under SMAP </w:t>
      </w:r>
      <w:r w:rsidR="007260B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provided in the L4_C Algorithm Theoretical Basis Document (ATBD; Kimball et al. 2011). A brief description of the data in this directory is provided below. These data should be considered preliminary and used with caution, as the TCF/L4_C algorithms are still under development and haven’t been adequately validated over a global domain.</w:t>
      </w:r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7BEE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 are in a </w:t>
      </w:r>
      <w:r w:rsidR="00057BEE">
        <w:rPr>
          <w:rFonts w:ascii="Arial" w:hAnsi="Arial" w:cs="Arial"/>
          <w:sz w:val="24"/>
          <w:szCs w:val="24"/>
        </w:rPr>
        <w:t xml:space="preserve">binary format with data type defined as float32. The data are in a Geographic </w:t>
      </w:r>
      <w:proofErr w:type="spellStart"/>
      <w:r w:rsidR="00057BEE">
        <w:rPr>
          <w:rFonts w:ascii="Arial" w:hAnsi="Arial" w:cs="Arial"/>
          <w:sz w:val="24"/>
          <w:szCs w:val="24"/>
        </w:rPr>
        <w:t>lat</w:t>
      </w:r>
      <w:proofErr w:type="spellEnd"/>
      <w:r w:rsidR="00057BEE">
        <w:rPr>
          <w:rFonts w:ascii="Arial" w:hAnsi="Arial" w:cs="Arial"/>
          <w:sz w:val="24"/>
          <w:szCs w:val="24"/>
        </w:rPr>
        <w:t>/</w:t>
      </w:r>
      <w:proofErr w:type="spellStart"/>
      <w:r w:rsidR="00057BEE">
        <w:rPr>
          <w:rFonts w:ascii="Arial" w:hAnsi="Arial" w:cs="Arial"/>
          <w:sz w:val="24"/>
          <w:szCs w:val="24"/>
        </w:rPr>
        <w:t>lon</w:t>
      </w:r>
      <w:proofErr w:type="spellEnd"/>
      <w:r w:rsidR="00057BEE">
        <w:rPr>
          <w:rFonts w:ascii="Arial" w:hAnsi="Arial" w:cs="Arial"/>
          <w:sz w:val="24"/>
          <w:szCs w:val="24"/>
        </w:rPr>
        <w:t xml:space="preserve"> global projection specified as 360 column x 180 row files with a -999 “no data” flag. Individual files are represented for global monthly GPP and NEE fluxes on an annual basis for Years </w:t>
      </w:r>
      <w:r w:rsidR="0004277C">
        <w:rPr>
          <w:rFonts w:ascii="Arial" w:hAnsi="Arial" w:cs="Arial"/>
          <w:sz w:val="24"/>
          <w:szCs w:val="24"/>
        </w:rPr>
        <w:t>2000</w:t>
      </w:r>
      <w:r w:rsidR="00057BEE">
        <w:rPr>
          <w:rFonts w:ascii="Arial" w:hAnsi="Arial" w:cs="Arial"/>
          <w:sz w:val="24"/>
          <w:szCs w:val="24"/>
        </w:rPr>
        <w:t xml:space="preserve"> to 2011. </w:t>
      </w:r>
      <w:r w:rsidR="00565268">
        <w:rPr>
          <w:rFonts w:ascii="Arial" w:hAnsi="Arial" w:cs="Arial"/>
          <w:sz w:val="24"/>
          <w:szCs w:val="24"/>
        </w:rPr>
        <w:t xml:space="preserve">The data cover the region from 179.5° W to 179.5° E longitudinally and 89.5° S to 89.5° N </w:t>
      </w:r>
      <w:proofErr w:type="spellStart"/>
      <w:r w:rsidR="00565268">
        <w:rPr>
          <w:rFonts w:ascii="Arial" w:hAnsi="Arial" w:cs="Arial"/>
          <w:sz w:val="24"/>
          <w:szCs w:val="24"/>
        </w:rPr>
        <w:t>latitudinally</w:t>
      </w:r>
      <w:proofErr w:type="spellEnd"/>
      <w:r w:rsidR="00565268">
        <w:rPr>
          <w:rFonts w:ascii="Arial" w:hAnsi="Arial" w:cs="Arial"/>
          <w:sz w:val="24"/>
          <w:szCs w:val="24"/>
        </w:rPr>
        <w:t xml:space="preserve">, with pixel (1, 1) located in (179.5 °W, 89.5 °S). </w:t>
      </w:r>
      <w:bookmarkStart w:id="0" w:name="_GoBack"/>
      <w:bookmarkEnd w:id="0"/>
    </w:p>
    <w:p w:rsidR="00F842A9" w:rsidRDefault="00F842A9" w:rsidP="003F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2578" w:rsidRDefault="00F842A9" w:rsidP="006A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3278">
        <w:rPr>
          <w:rFonts w:ascii="Arial" w:hAnsi="Arial" w:cs="Arial"/>
          <w:sz w:val="24"/>
          <w:szCs w:val="24"/>
        </w:rPr>
        <w:t>GPP is produced using a light use efficiency (LUE) model, similar to MOD17 algorithm,</w:t>
      </w:r>
      <w:r>
        <w:rPr>
          <w:rFonts w:ascii="Arial" w:hAnsi="Arial" w:cs="Arial"/>
          <w:sz w:val="24"/>
          <w:szCs w:val="24"/>
        </w:rPr>
        <w:t xml:space="preserve"> based on MERRA reanalysis daily surface meteorology inputs (including air temperature, VPD, and solar radiation), and MODIS NDVI (MOD13A2) inputs. </w:t>
      </w:r>
      <w:r w:rsidR="006A2578">
        <w:rPr>
          <w:rFonts w:ascii="Arial" w:hAnsi="Arial" w:cs="Arial"/>
          <w:sz w:val="24"/>
          <w:szCs w:val="24"/>
        </w:rPr>
        <w:t xml:space="preserve">The MODIS 1km resolution NDVI data were used to estimate FPAR based on empirical NDVI-FPAR relationships derived from best quality MODIS NDVI and FPAR (MOD15A2) data. </w:t>
      </w:r>
      <w:r w:rsidR="006A2578" w:rsidRPr="00A53278">
        <w:rPr>
          <w:rFonts w:ascii="Arial" w:hAnsi="Arial" w:cs="Arial"/>
          <w:sz w:val="24"/>
          <w:szCs w:val="24"/>
        </w:rPr>
        <w:t>The MODIS GPP (MOD17A2)</w:t>
      </w:r>
      <w:r w:rsidR="006A2578">
        <w:rPr>
          <w:rFonts w:ascii="Arial" w:hAnsi="Arial" w:cs="Arial"/>
          <w:sz w:val="24"/>
          <w:szCs w:val="24"/>
        </w:rPr>
        <w:t xml:space="preserve"> product</w:t>
      </w:r>
      <w:r w:rsidR="006A2578" w:rsidRPr="00A53278">
        <w:rPr>
          <w:rFonts w:ascii="Arial" w:hAnsi="Arial" w:cs="Arial"/>
          <w:sz w:val="24"/>
          <w:szCs w:val="24"/>
        </w:rPr>
        <w:t xml:space="preserve"> was used to calibrate the </w:t>
      </w:r>
      <w:r w:rsidR="006A2578">
        <w:rPr>
          <w:rFonts w:ascii="Arial" w:hAnsi="Arial" w:cs="Arial"/>
          <w:sz w:val="24"/>
          <w:szCs w:val="24"/>
        </w:rPr>
        <w:t>GPP algorithm Biome Property Look-Up Table (</w:t>
      </w:r>
      <w:r w:rsidR="006A2578" w:rsidRPr="00A53278">
        <w:rPr>
          <w:rFonts w:ascii="Arial" w:hAnsi="Arial" w:cs="Arial"/>
          <w:sz w:val="24"/>
          <w:szCs w:val="24"/>
        </w:rPr>
        <w:t>BPLUT</w:t>
      </w:r>
      <w:r w:rsidR="006A2578">
        <w:rPr>
          <w:rFonts w:ascii="Arial" w:hAnsi="Arial" w:cs="Arial"/>
          <w:sz w:val="24"/>
          <w:szCs w:val="24"/>
        </w:rPr>
        <w:t>)</w:t>
      </w:r>
      <w:r w:rsidR="006A2578" w:rsidRPr="00A53278">
        <w:rPr>
          <w:rFonts w:ascii="Arial" w:hAnsi="Arial" w:cs="Arial"/>
          <w:sz w:val="24"/>
          <w:szCs w:val="24"/>
        </w:rPr>
        <w:t xml:space="preserve"> </w:t>
      </w:r>
      <w:r w:rsidR="006A2578">
        <w:rPr>
          <w:rFonts w:ascii="Arial" w:hAnsi="Arial" w:cs="Arial"/>
          <w:sz w:val="24"/>
          <w:szCs w:val="24"/>
        </w:rPr>
        <w:t>at 0.5</w:t>
      </w:r>
      <w:r w:rsidR="006A2578" w:rsidRPr="00A53278">
        <w:rPr>
          <w:rFonts w:ascii="Arial" w:hAnsi="Arial" w:cs="Arial"/>
          <w:sz w:val="24"/>
          <w:szCs w:val="24"/>
        </w:rPr>
        <w:t>°</w:t>
      </w:r>
      <w:r w:rsidR="006A2578">
        <w:rPr>
          <w:rFonts w:ascii="Arial" w:hAnsi="Arial" w:cs="Arial"/>
          <w:sz w:val="24"/>
          <w:szCs w:val="24"/>
        </w:rPr>
        <w:t xml:space="preserve"> resolution</w:t>
      </w:r>
      <w:r w:rsidR="006A2578" w:rsidRPr="00A53278">
        <w:rPr>
          <w:rFonts w:ascii="Arial" w:hAnsi="Arial" w:cs="Arial"/>
          <w:sz w:val="24"/>
          <w:szCs w:val="24"/>
        </w:rPr>
        <w:t xml:space="preserve">. </w:t>
      </w:r>
      <w:r w:rsidR="006A2578">
        <w:rPr>
          <w:rFonts w:ascii="Arial" w:hAnsi="Arial" w:cs="Arial"/>
          <w:sz w:val="24"/>
          <w:szCs w:val="24"/>
        </w:rPr>
        <w:t xml:space="preserve">Vegetation </w:t>
      </w:r>
      <w:r w:rsidR="006A2578" w:rsidRPr="00A53278">
        <w:rPr>
          <w:rFonts w:ascii="Arial" w:hAnsi="Arial" w:cs="Arial"/>
          <w:bCs/>
          <w:sz w:val="24"/>
          <w:szCs w:val="24"/>
        </w:rPr>
        <w:t xml:space="preserve">NPP is estimated as a fixed proportion of annual GPP for individual land cover </w:t>
      </w:r>
      <w:r w:rsidR="006A2578">
        <w:rPr>
          <w:rFonts w:ascii="Arial" w:hAnsi="Arial" w:cs="Arial"/>
          <w:bCs/>
          <w:sz w:val="24"/>
          <w:szCs w:val="24"/>
        </w:rPr>
        <w:t xml:space="preserve">(BPLUT) </w:t>
      </w:r>
      <w:r w:rsidR="006A2578" w:rsidRPr="00A53278">
        <w:rPr>
          <w:rFonts w:ascii="Arial" w:hAnsi="Arial" w:cs="Arial"/>
          <w:bCs/>
          <w:sz w:val="24"/>
          <w:szCs w:val="24"/>
        </w:rPr>
        <w:t>classes based on the assumption of conservatism in vegetation carbon use efficiency</w:t>
      </w:r>
      <w:r w:rsidR="006A2578">
        <w:rPr>
          <w:rFonts w:ascii="Arial" w:hAnsi="Arial" w:cs="Arial"/>
          <w:bCs/>
          <w:sz w:val="24"/>
          <w:szCs w:val="24"/>
        </w:rPr>
        <w:t xml:space="preserve"> (CUE). </w:t>
      </w:r>
    </w:p>
    <w:p w:rsidR="006A2578" w:rsidRDefault="006A2578" w:rsidP="006A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A2578" w:rsidRDefault="006A2578" w:rsidP="006A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277C">
        <w:rPr>
          <w:rFonts w:ascii="Arial" w:hAnsi="Arial" w:cs="Arial"/>
          <w:bCs/>
          <w:sz w:val="24"/>
          <w:szCs w:val="24"/>
        </w:rPr>
        <w:lastRenderedPageBreak/>
        <w:t xml:space="preserve">The TCF model was spun up using MERRA surface soil temperature (≤10cm) and soil moisture (≤2cm), and the internal LUE algorithm based GPP/NPP products to derive </w:t>
      </w:r>
      <w:r w:rsidR="00CD687C" w:rsidRPr="0004277C">
        <w:rPr>
          <w:rFonts w:ascii="Arial" w:hAnsi="Arial" w:cs="Arial"/>
          <w:bCs/>
          <w:sz w:val="24"/>
          <w:szCs w:val="24"/>
        </w:rPr>
        <w:t>heterotrophic respiration</w:t>
      </w:r>
      <w:r w:rsidRPr="0004277C">
        <w:rPr>
          <w:rFonts w:ascii="Arial" w:hAnsi="Arial" w:cs="Arial"/>
          <w:bCs/>
          <w:sz w:val="24"/>
          <w:szCs w:val="24"/>
        </w:rPr>
        <w:t xml:space="preserve"> and NEE. </w:t>
      </w:r>
      <w:r w:rsidR="00CD687C" w:rsidRPr="0004277C">
        <w:rPr>
          <w:rFonts w:ascii="Arial" w:hAnsi="Arial" w:cs="Arial"/>
          <w:bCs/>
          <w:sz w:val="24"/>
          <w:szCs w:val="24"/>
        </w:rPr>
        <w:t>The TCF algorithms assume dynamic steady-state conditions between NPP and estimated surface (≤10 cm depth) soil organic carbon (SOC) stocks, which were derived by spinning up the algorithms by cycling the 1</w:t>
      </w:r>
      <w:r w:rsidR="0004277C" w:rsidRPr="0004277C">
        <w:rPr>
          <w:rFonts w:ascii="Arial" w:hAnsi="Arial" w:cs="Arial"/>
          <w:bCs/>
          <w:sz w:val="24"/>
          <w:szCs w:val="24"/>
        </w:rPr>
        <w:t>2</w:t>
      </w:r>
      <w:r w:rsidR="00CD687C" w:rsidRPr="0004277C">
        <w:rPr>
          <w:rFonts w:ascii="Arial" w:hAnsi="Arial" w:cs="Arial"/>
          <w:bCs/>
          <w:sz w:val="24"/>
          <w:szCs w:val="24"/>
        </w:rPr>
        <w:t xml:space="preserve"> year MERRA daily surface meteorology and MODIS GPP records. </w:t>
      </w:r>
      <w:r w:rsidR="0004277C" w:rsidRPr="0004277C">
        <w:rPr>
          <w:rFonts w:ascii="Arial" w:hAnsi="Arial" w:cs="Arial"/>
          <w:bCs/>
          <w:sz w:val="24"/>
          <w:szCs w:val="24"/>
        </w:rPr>
        <w:t xml:space="preserve">The GFED defined burned area fraction data were used to adjust the simulated steady-state SOC to non-steady-state conditions using empirical disturbance parameters derived from the boreal </w:t>
      </w:r>
      <w:proofErr w:type="spellStart"/>
      <w:r w:rsidR="0004277C" w:rsidRPr="0004277C">
        <w:rPr>
          <w:rFonts w:ascii="Arial" w:hAnsi="Arial" w:cs="Arial"/>
          <w:bCs/>
          <w:sz w:val="24"/>
          <w:szCs w:val="24"/>
        </w:rPr>
        <w:t>chronosequence</w:t>
      </w:r>
      <w:proofErr w:type="spellEnd"/>
      <w:r w:rsidR="0004277C" w:rsidRPr="0004277C">
        <w:rPr>
          <w:rFonts w:ascii="Arial" w:hAnsi="Arial" w:cs="Arial"/>
          <w:bCs/>
          <w:sz w:val="24"/>
          <w:szCs w:val="24"/>
        </w:rPr>
        <w:t xml:space="preserve"> sites. </w:t>
      </w:r>
    </w:p>
    <w:p w:rsidR="0004277C" w:rsidRDefault="0004277C" w:rsidP="006A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2578" w:rsidRDefault="00F842A9" w:rsidP="006A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BPLUT parameters for the global TCF simulations are listed below in Appendix 1. The land cover classification used for these simulations follows the MOD12Q1 (UMD type 2 land cover classification) definitions; specifically, ENF: evergreen needle-leaf forest, EBF: evergreen broadleaf forest; DNF: deciduous needle-leaf forest; DBF: deciduous broadleaf forest; MXF: mixed forest; CSB: closed </w:t>
      </w:r>
      <w:proofErr w:type="spellStart"/>
      <w:r>
        <w:rPr>
          <w:rFonts w:ascii="Arial" w:hAnsi="Arial" w:cs="Arial"/>
          <w:sz w:val="24"/>
          <w:szCs w:val="24"/>
        </w:rPr>
        <w:t>shrubland</w:t>
      </w:r>
      <w:proofErr w:type="spellEnd"/>
      <w:r>
        <w:rPr>
          <w:rFonts w:ascii="Arial" w:hAnsi="Arial" w:cs="Arial"/>
          <w:sz w:val="24"/>
          <w:szCs w:val="24"/>
        </w:rPr>
        <w:t xml:space="preserve">; OSB: open </w:t>
      </w:r>
      <w:proofErr w:type="spellStart"/>
      <w:r>
        <w:rPr>
          <w:rFonts w:ascii="Arial" w:hAnsi="Arial" w:cs="Arial"/>
          <w:sz w:val="24"/>
          <w:szCs w:val="24"/>
        </w:rPr>
        <w:t>shrubland</w:t>
      </w:r>
      <w:proofErr w:type="spellEnd"/>
      <w:r>
        <w:rPr>
          <w:rFonts w:ascii="Arial" w:hAnsi="Arial" w:cs="Arial"/>
          <w:sz w:val="24"/>
          <w:szCs w:val="24"/>
        </w:rPr>
        <w:t>; WSA: woody savanna; SVA: savanna; GRS: grassland; CRP: cropland.</w:t>
      </w:r>
    </w:p>
    <w:p w:rsidR="00F842A9" w:rsidRDefault="00F842A9">
      <w:pPr>
        <w:rPr>
          <w:rFonts w:ascii="Arial" w:hAnsi="Arial" w:cs="Arial"/>
          <w:sz w:val="24"/>
          <w:szCs w:val="24"/>
        </w:rPr>
      </w:pPr>
    </w:p>
    <w:p w:rsidR="00F842A9" w:rsidRPr="00AD475E" w:rsidRDefault="00F842A9">
      <w:pPr>
        <w:rPr>
          <w:rFonts w:ascii="Arial" w:hAnsi="Arial" w:cs="Arial"/>
          <w:b/>
          <w:sz w:val="24"/>
          <w:szCs w:val="24"/>
        </w:rPr>
      </w:pPr>
      <w:r w:rsidRPr="00AD475E">
        <w:rPr>
          <w:rFonts w:ascii="Arial" w:hAnsi="Arial" w:cs="Arial"/>
          <w:b/>
          <w:sz w:val="24"/>
          <w:szCs w:val="24"/>
        </w:rPr>
        <w:t xml:space="preserve">Algorithm </w:t>
      </w:r>
      <w:r>
        <w:rPr>
          <w:rFonts w:ascii="Arial" w:hAnsi="Arial" w:cs="Arial"/>
          <w:b/>
          <w:sz w:val="24"/>
          <w:szCs w:val="24"/>
        </w:rPr>
        <w:t xml:space="preserve">Uncertainties and </w:t>
      </w:r>
      <w:r w:rsidRPr="00AD475E">
        <w:rPr>
          <w:rFonts w:ascii="Arial" w:hAnsi="Arial" w:cs="Arial"/>
          <w:b/>
          <w:sz w:val="24"/>
          <w:szCs w:val="24"/>
        </w:rPr>
        <w:t>Assumptions</w:t>
      </w: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model</w:t>
      </w:r>
      <w:r w:rsidRPr="00AD475E">
        <w:rPr>
          <w:rFonts w:ascii="Arial" w:hAnsi="Arial" w:cs="Arial"/>
          <w:sz w:val="24"/>
          <w:szCs w:val="24"/>
        </w:rPr>
        <w:t xml:space="preserve"> error budget analysis</w:t>
      </w:r>
      <w:r>
        <w:rPr>
          <w:rFonts w:ascii="Arial" w:hAnsi="Arial" w:cs="Arial"/>
          <w:sz w:val="24"/>
          <w:szCs w:val="24"/>
        </w:rPr>
        <w:t xml:space="preserve"> and validation of the TCF algorithms is provided elsewhere</w:t>
      </w:r>
      <w:r w:rsidRPr="00AD47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Kimball et al. 2011</w:t>
      </w:r>
      <w:r w:rsidRPr="00AD47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AD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date, the TCF algorithms have largely been developed, tested and evaluated over northern (&gt;45</w:t>
      </w:r>
      <w:r w:rsidR="00A0228C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N) land areas. Global validation of these simulations is still preliminary so the data should be used with caution. A large source of uncertainty in the algorithms comes from the input MERRA surface meteorology; a detailed global validation of the MERRA inputs to the TCF algorithms is provided elsewhere. These results show a large warm/dry bias over the tropics and other uncertainties, which are imparted to the TCF simulations. I</w:t>
      </w:r>
      <w:r w:rsidRPr="00AD475E">
        <w:rPr>
          <w:rFonts w:ascii="Arial" w:hAnsi="Arial" w:cs="Arial"/>
          <w:sz w:val="24"/>
          <w:szCs w:val="24"/>
        </w:rPr>
        <w:t xml:space="preserve">nitial algorithm testing using AMSR-E derived soil moisture and temperature inputs across a latitudinal gradient of grassland, boreal forest and tundra tower sites over a 3-year period indicate that the </w:t>
      </w:r>
      <w:r>
        <w:rPr>
          <w:rFonts w:ascii="Arial" w:hAnsi="Arial" w:cs="Arial"/>
          <w:sz w:val="24"/>
          <w:szCs w:val="24"/>
        </w:rPr>
        <w:t>model performance has a mean</w:t>
      </w:r>
      <w:r w:rsidRPr="00AD475E">
        <w:rPr>
          <w:rFonts w:ascii="Arial" w:hAnsi="Arial" w:cs="Arial"/>
          <w:sz w:val="24"/>
          <w:szCs w:val="24"/>
        </w:rPr>
        <w:t xml:space="preserve"> accuracy</w:t>
      </w:r>
      <w:r>
        <w:rPr>
          <w:rFonts w:ascii="Arial" w:hAnsi="Arial" w:cs="Arial"/>
          <w:sz w:val="24"/>
          <w:szCs w:val="24"/>
        </w:rPr>
        <w:t xml:space="preserve"> range similar to</w:t>
      </w:r>
      <w:r w:rsidRPr="00AD475E">
        <w:rPr>
          <w:rFonts w:ascii="Arial" w:hAnsi="Arial" w:cs="Arial"/>
          <w:sz w:val="24"/>
          <w:szCs w:val="24"/>
        </w:rPr>
        <w:t xml:space="preserve"> tower CO</w:t>
      </w:r>
      <w:r w:rsidRPr="00AD475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flux measurement based estimates and relatively detailed site level model simulations of these processes</w:t>
      </w:r>
      <w:r w:rsidRPr="00AD47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i.e. NEE </w:t>
      </w:r>
      <w:r w:rsidRPr="00AD475E">
        <w:rPr>
          <w:rFonts w:ascii="Arial" w:hAnsi="Arial" w:cs="Arial"/>
          <w:sz w:val="24"/>
          <w:szCs w:val="24"/>
        </w:rPr>
        <w:t>RMSE ≤ 30 g C m</w:t>
      </w:r>
      <w:r w:rsidRPr="00AD475E">
        <w:rPr>
          <w:rFonts w:ascii="Arial" w:hAnsi="Arial" w:cs="Arial"/>
          <w:sz w:val="24"/>
          <w:szCs w:val="24"/>
          <w:vertAlign w:val="superscript"/>
        </w:rPr>
        <w:t>-2</w:t>
      </w:r>
      <w:r w:rsidRPr="00AD475E">
        <w:rPr>
          <w:rFonts w:ascii="Arial" w:hAnsi="Arial" w:cs="Arial"/>
          <w:sz w:val="24"/>
          <w:szCs w:val="24"/>
        </w:rPr>
        <w:t xml:space="preserve"> yr</w:t>
      </w:r>
      <w:r w:rsidRPr="00AD475E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or 1.6 g C m</w:t>
      </w:r>
      <w:r w:rsidRPr="0022643A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 xml:space="preserve"> d</w:t>
      </w:r>
      <w:r w:rsidRPr="0022643A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). Larger uncertainties are expected for other climate regimes and biome types</w:t>
      </w:r>
      <w:r w:rsidRPr="00AD475E">
        <w:rPr>
          <w:rFonts w:ascii="Arial" w:hAnsi="Arial" w:cs="Arial"/>
          <w:sz w:val="24"/>
          <w:szCs w:val="24"/>
        </w:rPr>
        <w:t>.</w:t>
      </w:r>
    </w:p>
    <w:p w:rsidR="00F842A9" w:rsidRPr="00AD475E" w:rsidRDefault="00F842A9" w:rsidP="00AD475E">
      <w:pPr>
        <w:rPr>
          <w:rFonts w:ascii="Arial" w:hAnsi="Arial" w:cs="Arial"/>
          <w:sz w:val="24"/>
          <w:szCs w:val="24"/>
        </w:rPr>
      </w:pPr>
      <w:r w:rsidRPr="00AD4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TCF</w:t>
      </w:r>
      <w:r w:rsidRPr="00AD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model</w:t>
      </w:r>
      <w:r w:rsidRPr="00AD475E">
        <w:rPr>
          <w:rFonts w:ascii="Arial" w:hAnsi="Arial" w:cs="Arial"/>
          <w:sz w:val="24"/>
          <w:szCs w:val="24"/>
        </w:rPr>
        <w:t xml:space="preserve"> incorporates a number of simplifyi</w:t>
      </w:r>
      <w:r>
        <w:rPr>
          <w:rFonts w:ascii="Arial" w:hAnsi="Arial" w:cs="Arial"/>
          <w:sz w:val="24"/>
          <w:szCs w:val="24"/>
        </w:rPr>
        <w:t>ng assumptions consistent with</w:t>
      </w:r>
      <w:r w:rsidRPr="00AD475E">
        <w:rPr>
          <w:rFonts w:ascii="Arial" w:hAnsi="Arial" w:cs="Arial"/>
          <w:sz w:val="24"/>
          <w:szCs w:val="24"/>
        </w:rPr>
        <w:t xml:space="preserve"> global satellite remote sensing </w:t>
      </w:r>
      <w:r>
        <w:rPr>
          <w:rFonts w:ascii="Arial" w:hAnsi="Arial" w:cs="Arial"/>
          <w:sz w:val="24"/>
          <w:szCs w:val="24"/>
        </w:rPr>
        <w:t xml:space="preserve">based </w:t>
      </w:r>
      <w:r w:rsidRPr="00AD475E">
        <w:rPr>
          <w:rFonts w:ascii="Arial" w:hAnsi="Arial" w:cs="Arial"/>
          <w:sz w:val="24"/>
          <w:szCs w:val="24"/>
        </w:rPr>
        <w:t>algorithm</w:t>
      </w:r>
      <w:r>
        <w:rPr>
          <w:rFonts w:ascii="Arial" w:hAnsi="Arial" w:cs="Arial"/>
          <w:sz w:val="24"/>
          <w:szCs w:val="24"/>
        </w:rPr>
        <w:t>s,</w:t>
      </w:r>
      <w:r w:rsidRPr="00AD475E">
        <w:rPr>
          <w:rFonts w:ascii="Arial" w:hAnsi="Arial" w:cs="Arial"/>
          <w:sz w:val="24"/>
          <w:szCs w:val="24"/>
        </w:rPr>
        <w:t xml:space="preserve"> and may not sufficiently characterize all the major processes regulating CO</w:t>
      </w:r>
      <w:r w:rsidRPr="00AD475E">
        <w:rPr>
          <w:rFonts w:ascii="Arial" w:hAnsi="Arial" w:cs="Arial"/>
          <w:sz w:val="24"/>
          <w:szCs w:val="24"/>
          <w:vertAlign w:val="subscript"/>
        </w:rPr>
        <w:t>2</w:t>
      </w:r>
      <w:r w:rsidRPr="00AD475E">
        <w:rPr>
          <w:rFonts w:ascii="Arial" w:hAnsi="Arial" w:cs="Arial"/>
          <w:sz w:val="24"/>
          <w:szCs w:val="24"/>
        </w:rPr>
        <w:t xml:space="preserve"> exchange. </w:t>
      </w:r>
      <w:r>
        <w:rPr>
          <w:rFonts w:ascii="Arial" w:hAnsi="Arial" w:cs="Arial"/>
          <w:sz w:val="24"/>
          <w:szCs w:val="24"/>
        </w:rPr>
        <w:t xml:space="preserve">The various model constraints, limitations and assumptions are documented more detail elsewhere (Kimball et al. 2000; 2011). </w:t>
      </w:r>
      <w:r w:rsidRPr="00AD4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TCF</w:t>
      </w:r>
      <w:r w:rsidRPr="00AD475E">
        <w:rPr>
          <w:rFonts w:ascii="Arial" w:hAnsi="Arial" w:cs="Arial"/>
          <w:sz w:val="24"/>
          <w:szCs w:val="24"/>
        </w:rPr>
        <w:t xml:space="preserve"> framework assumes that spatial and temporal variability in the relative magnitude and sign of land-atmosphere CO</w:t>
      </w:r>
      <w:r w:rsidRPr="00AD475E">
        <w:rPr>
          <w:rFonts w:ascii="Arial" w:hAnsi="Arial" w:cs="Arial"/>
          <w:sz w:val="24"/>
          <w:szCs w:val="24"/>
          <w:vertAlign w:val="subscript"/>
        </w:rPr>
        <w:t>2</w:t>
      </w:r>
      <w:r w:rsidRPr="00AD475E">
        <w:rPr>
          <w:rFonts w:ascii="Arial" w:hAnsi="Arial" w:cs="Arial"/>
          <w:sz w:val="24"/>
          <w:szCs w:val="24"/>
        </w:rPr>
        <w:t xml:space="preserve"> exchange are largely driven by surface soil wetness and temperature variations through direct environmental controls on 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D4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model</w:t>
      </w:r>
      <w:r w:rsidRPr="00AD475E">
        <w:rPr>
          <w:rFonts w:ascii="Arial" w:hAnsi="Arial" w:cs="Arial"/>
          <w:sz w:val="24"/>
          <w:szCs w:val="24"/>
        </w:rPr>
        <w:t xml:space="preserve"> framework </w:t>
      </w:r>
      <w:r>
        <w:rPr>
          <w:rFonts w:ascii="Arial" w:hAnsi="Arial" w:cs="Arial"/>
          <w:sz w:val="24"/>
          <w:szCs w:val="24"/>
        </w:rPr>
        <w:t>also</w:t>
      </w:r>
      <w:r w:rsidRPr="00AD475E">
        <w:rPr>
          <w:rFonts w:ascii="Arial" w:hAnsi="Arial" w:cs="Arial"/>
          <w:sz w:val="24"/>
          <w:szCs w:val="24"/>
        </w:rPr>
        <w:t xml:space="preserve"> assumes that surface SOC stocks are in relative equilibrium with these environmental conditions and GPP. This steady-state assumption produces a </w:t>
      </w:r>
      <w:r w:rsidRPr="00AD475E">
        <w:rPr>
          <w:rFonts w:ascii="Arial" w:hAnsi="Arial" w:cs="Arial"/>
          <w:sz w:val="24"/>
          <w:szCs w:val="24"/>
        </w:rPr>
        <w:lastRenderedPageBreak/>
        <w:t>carbon neutral biosphere (long term cumulative net ecosystem-atmosphere CO</w:t>
      </w:r>
      <w:r w:rsidRPr="00AD475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exchange (NEE) = 0).</w:t>
      </w:r>
      <w:r w:rsidRPr="00AD475E">
        <w:rPr>
          <w:rFonts w:ascii="Arial" w:hAnsi="Arial" w:cs="Arial"/>
          <w:sz w:val="24"/>
          <w:szCs w:val="24"/>
        </w:rPr>
        <w:t xml:space="preserve">  Land cover and land use changes (LCLUC) from direct and indirect human</w:t>
      </w:r>
      <w:r>
        <w:rPr>
          <w:rFonts w:ascii="Arial" w:hAnsi="Arial" w:cs="Arial"/>
          <w:sz w:val="24"/>
          <w:szCs w:val="24"/>
        </w:rPr>
        <w:t xml:space="preserve"> development</w:t>
      </w:r>
      <w:r w:rsidRPr="00AD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not directly represented by the model and are expected to</w:t>
      </w:r>
      <w:r w:rsidRPr="00AD475E">
        <w:rPr>
          <w:rFonts w:ascii="Arial" w:hAnsi="Arial" w:cs="Arial"/>
          <w:sz w:val="24"/>
          <w:szCs w:val="24"/>
        </w:rPr>
        <w:t xml:space="preserve"> exert a large influence on NEE over a global domain, </w:t>
      </w:r>
      <w:r>
        <w:rPr>
          <w:rFonts w:ascii="Arial" w:hAnsi="Arial" w:cs="Arial"/>
          <w:sz w:val="24"/>
          <w:szCs w:val="24"/>
        </w:rPr>
        <w:t xml:space="preserve">with </w:t>
      </w:r>
      <w:r w:rsidRPr="00AD475E">
        <w:rPr>
          <w:rFonts w:ascii="Arial" w:hAnsi="Arial" w:cs="Arial"/>
          <w:sz w:val="24"/>
          <w:szCs w:val="24"/>
        </w:rPr>
        <w:t xml:space="preserve">less impact over sparsely populated northern land areas. </w:t>
      </w:r>
      <w:r>
        <w:rPr>
          <w:rFonts w:ascii="Arial" w:hAnsi="Arial" w:cs="Arial"/>
          <w:sz w:val="24"/>
          <w:szCs w:val="24"/>
        </w:rPr>
        <w:t>The TCF simulations use</w:t>
      </w:r>
      <w:r w:rsidRPr="00AD475E">
        <w:rPr>
          <w:rFonts w:ascii="Arial" w:hAnsi="Arial" w:cs="Arial"/>
          <w:sz w:val="24"/>
          <w:szCs w:val="24"/>
        </w:rPr>
        <w:t xml:space="preserve"> a static global la</w:t>
      </w:r>
      <w:r>
        <w:rPr>
          <w:rFonts w:ascii="Arial" w:hAnsi="Arial" w:cs="Arial"/>
          <w:sz w:val="24"/>
          <w:szCs w:val="24"/>
        </w:rPr>
        <w:t>nd cover classification and do</w:t>
      </w:r>
      <w:r w:rsidRPr="00AD475E">
        <w:rPr>
          <w:rFonts w:ascii="Arial" w:hAnsi="Arial" w:cs="Arial"/>
          <w:sz w:val="24"/>
          <w:szCs w:val="24"/>
        </w:rPr>
        <w:t xml:space="preserve"> not explicitly represent disturbance and LCLUC impacts to GPP; disturbance and LCLUC impacts to GPP are only partially accounted for through associated changes to photosynthetic canopy cover represented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AD475E">
        <w:rPr>
          <w:rFonts w:ascii="Arial" w:hAnsi="Arial" w:cs="Arial"/>
          <w:sz w:val="24"/>
          <w:szCs w:val="24"/>
        </w:rPr>
        <w:t xml:space="preserve">NDVI inputs. </w:t>
      </w: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  <w:r w:rsidRPr="00AD475E">
        <w:rPr>
          <w:rFonts w:ascii="Arial" w:hAnsi="Arial" w:cs="Arial"/>
          <w:sz w:val="24"/>
          <w:szCs w:val="24"/>
        </w:rPr>
        <w:t xml:space="preserve">The potential productivity contribution and soil insulation effects of </w:t>
      </w:r>
      <w:r>
        <w:rPr>
          <w:rFonts w:ascii="Arial" w:hAnsi="Arial" w:cs="Arial"/>
          <w:sz w:val="24"/>
          <w:szCs w:val="24"/>
        </w:rPr>
        <w:t xml:space="preserve">understory vegetation and </w:t>
      </w:r>
      <w:r w:rsidRPr="00AD475E">
        <w:rPr>
          <w:rFonts w:ascii="Arial" w:hAnsi="Arial" w:cs="Arial"/>
          <w:sz w:val="24"/>
          <w:szCs w:val="24"/>
        </w:rPr>
        <w:t xml:space="preserve">organic ground cover to NEE are not distinguished in </w:t>
      </w:r>
      <w:r>
        <w:rPr>
          <w:rFonts w:ascii="Arial" w:hAnsi="Arial" w:cs="Arial"/>
          <w:sz w:val="24"/>
          <w:szCs w:val="24"/>
        </w:rPr>
        <w:t>the model</w:t>
      </w:r>
      <w:r w:rsidRPr="00AD475E">
        <w:rPr>
          <w:rFonts w:ascii="Arial" w:hAnsi="Arial" w:cs="Arial"/>
          <w:sz w:val="24"/>
          <w:szCs w:val="24"/>
        </w:rPr>
        <w:t xml:space="preserve"> apart from the general land cover properties specified in the BPLUT. The Nitrogen (N) content of leaf litter and associated impacts to soil heterotrophic respiration (R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 xml:space="preserve">) and NEE are also not distinguished in the </w:t>
      </w:r>
      <w:r>
        <w:rPr>
          <w:rFonts w:ascii="Arial" w:hAnsi="Arial" w:cs="Arial"/>
          <w:sz w:val="24"/>
          <w:szCs w:val="24"/>
        </w:rPr>
        <w:t>model</w:t>
      </w:r>
      <w:r w:rsidRPr="00AD475E">
        <w:rPr>
          <w:rFonts w:ascii="Arial" w:hAnsi="Arial" w:cs="Arial"/>
          <w:sz w:val="24"/>
          <w:szCs w:val="24"/>
        </w:rPr>
        <w:t xml:space="preserve"> apart from general land cover properties specified in the BPLUT.</w:t>
      </w:r>
      <w:r w:rsidRPr="00AD475E">
        <w:rPr>
          <w:rFonts w:ascii="Arial" w:hAnsi="Arial" w:cs="Arial"/>
          <w:i/>
          <w:sz w:val="24"/>
          <w:szCs w:val="24"/>
        </w:rPr>
        <w:t xml:space="preserve"> </w:t>
      </w: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  <w:r w:rsidRPr="00AD4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model</w:t>
      </w:r>
      <w:r w:rsidRPr="00AD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results are based on simulations using</w:t>
      </w:r>
      <w:r w:rsidRPr="00AD475E">
        <w:rPr>
          <w:rFonts w:ascii="Arial" w:hAnsi="Arial" w:cs="Arial"/>
          <w:sz w:val="24"/>
          <w:szCs w:val="24"/>
        </w:rPr>
        <w:t xml:space="preserve"> surface (≤5cm depth) soil temperature inputs from the </w:t>
      </w:r>
      <w:r>
        <w:rPr>
          <w:rFonts w:ascii="Arial" w:hAnsi="Arial" w:cs="Arial"/>
          <w:sz w:val="24"/>
          <w:szCs w:val="24"/>
        </w:rPr>
        <w:t xml:space="preserve">MERRA reanalysis </w:t>
      </w:r>
      <w:r w:rsidRPr="00AD475E">
        <w:rPr>
          <w:rFonts w:ascii="Arial" w:hAnsi="Arial" w:cs="Arial"/>
          <w:sz w:val="24"/>
          <w:szCs w:val="24"/>
        </w:rPr>
        <w:t>to define the soil heterotrophic respiration (R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>) response to soil temperature. The algorithm is based on the assumption that the bulk of 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 xml:space="preserve"> is derived from surface soil layers. This assumption generally holds for most ecosystems, including boreal-arctic biomes, because the bulk of annual litter decomposition is composed of relatively recent (i.e. &lt;5 years old) leaf litter that is more labile than older soil litter layers with higher lignin concentrations. However, </w:t>
      </w:r>
      <w:r>
        <w:rPr>
          <w:rFonts w:ascii="Arial" w:hAnsi="Arial" w:cs="Arial"/>
          <w:sz w:val="24"/>
          <w:szCs w:val="24"/>
        </w:rPr>
        <w:t xml:space="preserve">in boreal regions, </w:t>
      </w:r>
      <w:r w:rsidRPr="00AD475E">
        <w:rPr>
          <w:rFonts w:ascii="Arial" w:hAnsi="Arial" w:cs="Arial"/>
          <w:sz w:val="24"/>
          <w:szCs w:val="24"/>
        </w:rPr>
        <w:t>deeper soil layers can contribute up to 40% or more of total 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>, especially later in the growing season as the seasonal warming of deeper layers progresses and lags behind shallower soil layers. The contribution of deeper SOC layers to R</w:t>
      </w:r>
      <w:r w:rsidRPr="00AD475E">
        <w:rPr>
          <w:rFonts w:ascii="Arial" w:hAnsi="Arial" w:cs="Arial"/>
          <w:sz w:val="24"/>
          <w:szCs w:val="24"/>
          <w:vertAlign w:val="subscript"/>
        </w:rPr>
        <w:t>h</w:t>
      </w:r>
      <w:r w:rsidRPr="00AD475E">
        <w:rPr>
          <w:rFonts w:ascii="Arial" w:hAnsi="Arial" w:cs="Arial"/>
          <w:sz w:val="24"/>
          <w:szCs w:val="24"/>
        </w:rPr>
        <w:t xml:space="preserve"> may also increase over longer (decadal) time periods in boreal-Arctic regions due to the large reservoir of SOC stored in these colder soils and potential warming and destabilization of </w:t>
      </w:r>
      <w:r>
        <w:rPr>
          <w:rFonts w:ascii="Arial" w:hAnsi="Arial" w:cs="Arial"/>
          <w:sz w:val="24"/>
          <w:szCs w:val="24"/>
        </w:rPr>
        <w:t xml:space="preserve">permafrost and </w:t>
      </w:r>
      <w:r w:rsidRPr="00AD475E">
        <w:rPr>
          <w:rFonts w:ascii="Arial" w:hAnsi="Arial" w:cs="Arial"/>
          <w:sz w:val="24"/>
          <w:szCs w:val="24"/>
        </w:rPr>
        <w:t xml:space="preserve">deeper SOC layers under global warming. </w:t>
      </w: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  <w:r w:rsidRPr="00AD475E">
        <w:rPr>
          <w:rFonts w:ascii="Arial" w:hAnsi="Arial" w:cs="Arial"/>
          <w:sz w:val="24"/>
          <w:szCs w:val="24"/>
        </w:rPr>
        <w:t xml:space="preserve">Sub-grid scale land cover heterogeneity is a major source of potential </w:t>
      </w:r>
      <w:r>
        <w:rPr>
          <w:rFonts w:ascii="Arial" w:hAnsi="Arial" w:cs="Arial"/>
          <w:sz w:val="24"/>
          <w:szCs w:val="24"/>
        </w:rPr>
        <w:t>TCF</w:t>
      </w:r>
      <w:r w:rsidRPr="00AD475E">
        <w:rPr>
          <w:rFonts w:ascii="Arial" w:hAnsi="Arial" w:cs="Arial"/>
          <w:sz w:val="24"/>
          <w:szCs w:val="24"/>
        </w:rPr>
        <w:t xml:space="preserve"> algorithm uncertainty, where landscape variability in land cover conditions and NEE may not be adequately represented by the </w:t>
      </w:r>
      <w:r>
        <w:rPr>
          <w:rFonts w:ascii="Arial" w:hAnsi="Arial" w:cs="Arial"/>
          <w:sz w:val="24"/>
          <w:szCs w:val="24"/>
        </w:rPr>
        <w:t>baseline 25-km</w:t>
      </w:r>
      <w:r w:rsidRPr="00AD475E">
        <w:rPr>
          <w:rFonts w:ascii="Arial" w:hAnsi="Arial" w:cs="Arial"/>
          <w:sz w:val="24"/>
          <w:szCs w:val="24"/>
        </w:rPr>
        <w:t xml:space="preserve"> grid cell resolution </w:t>
      </w:r>
      <w:r>
        <w:rPr>
          <w:rFonts w:ascii="Arial" w:hAnsi="Arial" w:cs="Arial"/>
          <w:sz w:val="24"/>
          <w:szCs w:val="24"/>
        </w:rPr>
        <w:t xml:space="preserve">(and scaled to 0.5 degree resolution for the current database) </w:t>
      </w:r>
      <w:r w:rsidRPr="00AD475E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TCF simulations</w:t>
      </w:r>
      <w:r w:rsidRPr="00AD475E">
        <w:rPr>
          <w:rFonts w:ascii="Arial" w:hAnsi="Arial" w:cs="Arial"/>
          <w:sz w:val="24"/>
          <w:szCs w:val="24"/>
        </w:rPr>
        <w:t xml:space="preserve">. Additional algorithm uncertainty is contributed by similar coarse scale </w:t>
      </w:r>
      <w:r>
        <w:rPr>
          <w:rFonts w:ascii="Arial" w:hAnsi="Arial" w:cs="Arial"/>
          <w:sz w:val="24"/>
          <w:szCs w:val="24"/>
        </w:rPr>
        <w:t>(0.5 degree resolution MERRA)</w:t>
      </w:r>
      <w:r w:rsidRPr="00AD475E">
        <w:rPr>
          <w:rFonts w:ascii="Arial" w:hAnsi="Arial" w:cs="Arial"/>
          <w:sz w:val="24"/>
          <w:szCs w:val="24"/>
        </w:rPr>
        <w:t xml:space="preserve"> daily surface meteorology inputs, which may not adequately represent </w:t>
      </w:r>
      <w:r>
        <w:rPr>
          <w:rFonts w:ascii="Arial" w:hAnsi="Arial" w:cs="Arial"/>
          <w:sz w:val="24"/>
          <w:szCs w:val="24"/>
        </w:rPr>
        <w:t>sub-grid scale</w:t>
      </w:r>
      <w:r w:rsidRPr="00AD475E">
        <w:rPr>
          <w:rFonts w:ascii="Arial" w:hAnsi="Arial" w:cs="Arial"/>
          <w:sz w:val="24"/>
          <w:szCs w:val="24"/>
        </w:rPr>
        <w:t xml:space="preserve"> terrain variability and associated meteorological effects.  </w:t>
      </w: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</w:p>
    <w:p w:rsidR="00F842A9" w:rsidRDefault="00F842A9" w:rsidP="00AD475E">
      <w:pPr>
        <w:rPr>
          <w:rFonts w:ascii="Arial" w:hAnsi="Arial" w:cs="Arial"/>
          <w:sz w:val="24"/>
          <w:szCs w:val="24"/>
        </w:rPr>
      </w:pPr>
      <w:r w:rsidRPr="005D5445">
        <w:rPr>
          <w:rFonts w:ascii="Arial" w:hAnsi="Arial" w:cs="Arial"/>
          <w:b/>
          <w:sz w:val="24"/>
          <w:szCs w:val="24"/>
        </w:rPr>
        <w:t>References</w:t>
      </w:r>
      <w:r>
        <w:rPr>
          <w:rFonts w:ascii="Arial" w:hAnsi="Arial" w:cs="Arial"/>
          <w:sz w:val="24"/>
          <w:szCs w:val="24"/>
        </w:rPr>
        <w:t>:</w:t>
      </w:r>
    </w:p>
    <w:p w:rsidR="00F842A9" w:rsidRDefault="00FF1CA3">
      <w:pPr>
        <w:rPr>
          <w:rFonts w:ascii="Times New Roman" w:hAnsi="Times New Roman" w:cs="Times New Roman"/>
          <w:sz w:val="24"/>
          <w:szCs w:val="24"/>
        </w:rPr>
      </w:pPr>
      <w:r w:rsidRPr="00EF2803">
        <w:rPr>
          <w:rFonts w:ascii="Times New Roman" w:hAnsi="Times New Roman" w:cs="Times New Roman"/>
          <w:sz w:val="24"/>
          <w:szCs w:val="24"/>
        </w:rPr>
        <w:lastRenderedPageBreak/>
        <w:t xml:space="preserve">Kimball, J.S.,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K.C. </w:t>
      </w:r>
      <w:r w:rsidRPr="00EF2803">
        <w:rPr>
          <w:rFonts w:ascii="Times New Roman" w:hAnsi="Times New Roman" w:cs="Times New Roman"/>
          <w:sz w:val="24"/>
          <w:szCs w:val="24"/>
        </w:rPr>
        <w:t xml:space="preserve">McDonald, and </w:t>
      </w:r>
      <w:r>
        <w:rPr>
          <w:rFonts w:ascii="Times New Roman" w:hAnsi="Times New Roman" w:cs="Times New Roman"/>
          <w:sz w:val="24"/>
          <w:szCs w:val="24"/>
        </w:rPr>
        <w:t xml:space="preserve">P.E. </w:t>
      </w:r>
      <w:r w:rsidRPr="00EF2803">
        <w:rPr>
          <w:rFonts w:ascii="Times New Roman" w:hAnsi="Times New Roman" w:cs="Times New Roman"/>
          <w:sz w:val="24"/>
          <w:szCs w:val="24"/>
        </w:rPr>
        <w:t>O'Neill,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803">
        <w:rPr>
          <w:rFonts w:ascii="Times New Roman" w:hAnsi="Times New Roman" w:cs="Times New Roman"/>
          <w:sz w:val="24"/>
          <w:szCs w:val="24"/>
        </w:rPr>
        <w:t xml:space="preserve">: Algorithm Theoretical Basis Document (ATBD) for the SMAP L4 Carbon Model Assimilation Product. </w:t>
      </w:r>
      <w:proofErr w:type="gramStart"/>
      <w:r w:rsidRPr="00230028">
        <w:rPr>
          <w:rFonts w:ascii="Times New Roman" w:hAnsi="Times New Roman" w:cs="Times New Roman"/>
          <w:iCs/>
          <w:sz w:val="24"/>
          <w:szCs w:val="24"/>
        </w:rPr>
        <w:t>NASA Technical Report to the SMAP SDT</w:t>
      </w:r>
      <w:r>
        <w:rPr>
          <w:rFonts w:ascii="Times New Roman" w:hAnsi="Times New Roman" w:cs="Times New Roman"/>
          <w:iCs/>
          <w:sz w:val="24"/>
          <w:szCs w:val="24"/>
        </w:rPr>
        <w:t>, 37pp</w:t>
      </w:r>
      <w:r w:rsidRPr="00EF280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1F5EC4">
          <w:rPr>
            <w:rStyle w:val="Hyperlink"/>
            <w:rFonts w:ascii="Times New Roman" w:hAnsi="Times New Roman"/>
            <w:sz w:val="24"/>
            <w:szCs w:val="24"/>
          </w:rPr>
          <w:t>http://smap.jpl.nasa.gov/science/dataproducts/</w:t>
        </w:r>
      </w:hyperlink>
      <w:r w:rsidRPr="00EF280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F1CA3" w:rsidRDefault="00FF1CA3" w:rsidP="00FF1CA3">
      <w:pPr>
        <w:rPr>
          <w:rFonts w:ascii="Times New Roman" w:hAnsi="Times New Roman" w:cs="Times New Roman"/>
          <w:sz w:val="24"/>
          <w:szCs w:val="24"/>
        </w:rPr>
      </w:pPr>
      <w:r w:rsidRPr="00FF1CA3">
        <w:rPr>
          <w:rFonts w:ascii="Times New Roman" w:hAnsi="Times New Roman" w:cs="Times New Roman"/>
          <w:sz w:val="24"/>
          <w:szCs w:val="24"/>
        </w:rPr>
        <w:t xml:space="preserve">Yi Y., J.S. Kimball, L.A. Jones, R.H. </w:t>
      </w:r>
      <w:proofErr w:type="spellStart"/>
      <w:r w:rsidRPr="00FF1CA3">
        <w:rPr>
          <w:rFonts w:ascii="Times New Roman" w:hAnsi="Times New Roman" w:cs="Times New Roman"/>
          <w:sz w:val="24"/>
          <w:szCs w:val="24"/>
        </w:rPr>
        <w:t>Reichle</w:t>
      </w:r>
      <w:proofErr w:type="spellEnd"/>
      <w:r w:rsidRPr="00FF1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CA3">
        <w:rPr>
          <w:rFonts w:ascii="Times New Roman" w:hAnsi="Times New Roman" w:cs="Times New Roman"/>
          <w:sz w:val="24"/>
          <w:szCs w:val="24"/>
        </w:rPr>
        <w:t>R.Nemani</w:t>
      </w:r>
      <w:proofErr w:type="spellEnd"/>
      <w:r w:rsidRPr="00FF1CA3">
        <w:rPr>
          <w:rFonts w:ascii="Times New Roman" w:hAnsi="Times New Roman" w:cs="Times New Roman"/>
          <w:sz w:val="24"/>
          <w:szCs w:val="24"/>
        </w:rPr>
        <w:t>, H.A. Margolis. Recent climate and fire disturbance impacts on boreal and arctic ecosystem productivity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A3">
        <w:rPr>
          <w:rFonts w:ascii="Times New Roman" w:hAnsi="Times New Roman" w:cs="Times New Roman"/>
          <w:sz w:val="24"/>
          <w:szCs w:val="24"/>
        </w:rPr>
        <w:t xml:space="preserve">estimated using a satellite-based terrestrial carbon flux model. </w:t>
      </w:r>
      <w:proofErr w:type="gramStart"/>
      <w:r w:rsidRPr="00FF1CA3">
        <w:rPr>
          <w:rFonts w:ascii="Times New Roman" w:hAnsi="Times New Roman" w:cs="Times New Roman"/>
          <w:i/>
          <w:sz w:val="24"/>
          <w:szCs w:val="24"/>
        </w:rPr>
        <w:t>JGR-</w:t>
      </w:r>
      <w:proofErr w:type="spellStart"/>
      <w:r w:rsidRPr="00FF1CA3">
        <w:rPr>
          <w:rFonts w:ascii="Times New Roman" w:hAnsi="Times New Roman" w:cs="Times New Roman"/>
          <w:i/>
          <w:sz w:val="24"/>
          <w:szCs w:val="24"/>
        </w:rPr>
        <w:t>Biogeosciences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>, in revision.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A3" w:rsidRDefault="00FF1CA3">
      <w:pPr>
        <w:rPr>
          <w:rFonts w:ascii="Arial" w:hAnsi="Arial" w:cs="Arial"/>
          <w:sz w:val="24"/>
          <w:szCs w:val="24"/>
        </w:rPr>
      </w:pPr>
    </w:p>
    <w:p w:rsidR="00F842A9" w:rsidRDefault="00F842A9">
      <w:pPr>
        <w:rPr>
          <w:rFonts w:ascii="Arial" w:hAnsi="Arial" w:cs="Arial"/>
          <w:sz w:val="24"/>
          <w:szCs w:val="24"/>
        </w:rPr>
      </w:pPr>
      <w:r w:rsidRPr="005D5445">
        <w:rPr>
          <w:rFonts w:ascii="Arial" w:hAnsi="Arial" w:cs="Arial"/>
          <w:b/>
          <w:sz w:val="24"/>
          <w:szCs w:val="24"/>
        </w:rPr>
        <w:t>Appendix 1:  The BPLUT parameters for this product</w:t>
      </w:r>
      <w:r w:rsidRPr="00EA0CD5">
        <w:rPr>
          <w:rFonts w:ascii="Arial" w:hAnsi="Arial" w:cs="Arial"/>
          <w:sz w:val="24"/>
          <w:szCs w:val="24"/>
        </w:rPr>
        <w:t>.</w:t>
      </w:r>
    </w:p>
    <w:p w:rsidR="008A24B9" w:rsidRDefault="008A24B9">
      <w:pPr>
        <w:rPr>
          <w:rFonts w:ascii="Arial" w:hAnsi="Arial" w:cs="Arial"/>
          <w:sz w:val="24"/>
          <w:szCs w:val="24"/>
        </w:rPr>
      </w:pPr>
    </w:p>
    <w:p w:rsidR="00F842A9" w:rsidRPr="00EA0CD5" w:rsidRDefault="00F842A9" w:rsidP="00EA0CD5">
      <w:pPr>
        <w:rPr>
          <w:rFonts w:ascii="Arial" w:hAnsi="Arial" w:cs="Arial"/>
          <w:sz w:val="24"/>
          <w:szCs w:val="24"/>
        </w:rPr>
      </w:pPr>
      <w:r w:rsidRPr="00EA0CD5">
        <w:rPr>
          <w:rFonts w:ascii="Arial" w:hAnsi="Arial" w:cs="Arial"/>
          <w:b/>
          <w:sz w:val="24"/>
          <w:szCs w:val="24"/>
        </w:rPr>
        <w:t>UMD_VEG</w:t>
      </w:r>
      <w:r>
        <w:rPr>
          <w:rFonts w:ascii="Arial" w:hAnsi="Arial" w:cs="Arial"/>
          <w:sz w:val="24"/>
          <w:szCs w:val="24"/>
        </w:rPr>
        <w:t xml:space="preserve">   ENF    EBF    DNF   DBF   </w:t>
      </w:r>
      <w:proofErr w:type="gramStart"/>
      <w:r>
        <w:rPr>
          <w:rFonts w:ascii="Arial" w:hAnsi="Arial" w:cs="Arial"/>
          <w:sz w:val="24"/>
          <w:szCs w:val="24"/>
        </w:rPr>
        <w:t>MXF  CSB</w:t>
      </w:r>
      <w:proofErr w:type="gramEnd"/>
      <w:r>
        <w:rPr>
          <w:rFonts w:ascii="Arial" w:hAnsi="Arial" w:cs="Arial"/>
          <w:sz w:val="24"/>
          <w:szCs w:val="24"/>
        </w:rPr>
        <w:t xml:space="preserve">   OSB   WSA   SVA   GRS   CRP</w:t>
      </w:r>
    </w:p>
    <w:p w:rsidR="00F842A9" w:rsidRPr="00EA0CD5" w:rsidRDefault="00F842A9" w:rsidP="00EA0CD5">
      <w:pPr>
        <w:rPr>
          <w:rFonts w:ascii="Arial" w:hAnsi="Arial" w:cs="Arial"/>
          <w:sz w:val="24"/>
          <w:szCs w:val="24"/>
        </w:rPr>
      </w:pPr>
      <w:r w:rsidRPr="00EA0CD5">
        <w:rPr>
          <w:rFonts w:ascii="Arial" w:hAnsi="Arial" w:cs="Arial"/>
          <w:sz w:val="24"/>
          <w:szCs w:val="24"/>
        </w:rPr>
        <w:t>********************************* GPP algorithm parameters *********************************</w:t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  <w:lang w:val="fi-FI"/>
        </w:rPr>
      </w:pPr>
      <w:r w:rsidRPr="00CB32D2">
        <w:rPr>
          <w:rFonts w:ascii="Arial" w:hAnsi="Arial" w:cs="Arial"/>
          <w:sz w:val="20"/>
          <w:szCs w:val="20"/>
          <w:lang w:val="fi-FI"/>
        </w:rPr>
        <w:t>LUEma</w:t>
      </w:r>
      <w:r>
        <w:rPr>
          <w:rFonts w:ascii="Arial" w:hAnsi="Arial" w:cs="Arial"/>
          <w:sz w:val="20"/>
          <w:szCs w:val="20"/>
          <w:lang w:val="fi-FI"/>
        </w:rPr>
        <w:t>x</w:t>
      </w:r>
      <w:r w:rsidRPr="00CB32D2">
        <w:rPr>
          <w:rFonts w:ascii="Arial" w:hAnsi="Arial" w:cs="Arial"/>
          <w:sz w:val="20"/>
          <w:szCs w:val="20"/>
          <w:lang w:val="fi-FI"/>
        </w:rPr>
        <w:t xml:space="preserve">  0.0011   0.0012  0.0011   0.0012   0.0011   </w:t>
      </w:r>
      <w:r>
        <w:rPr>
          <w:rFonts w:ascii="Arial" w:hAnsi="Arial" w:cs="Arial"/>
          <w:sz w:val="20"/>
          <w:szCs w:val="20"/>
          <w:lang w:val="fi-FI"/>
        </w:rPr>
        <w:t>0.001</w:t>
      </w:r>
      <w:r w:rsidRPr="00CB32D2">
        <w:rPr>
          <w:rFonts w:ascii="Arial" w:hAnsi="Arial" w:cs="Arial"/>
          <w:sz w:val="20"/>
          <w:szCs w:val="20"/>
          <w:lang w:val="fi-FI"/>
        </w:rPr>
        <w:t xml:space="preserve">   0.00085   0.00111  0.0011   0.00085  0.0011</w:t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  <w:lang w:val="fi-FI"/>
        </w:rPr>
      </w:pPr>
      <w:r w:rsidRPr="00CB32D2">
        <w:rPr>
          <w:rFonts w:ascii="Arial" w:hAnsi="Arial" w:cs="Arial"/>
          <w:sz w:val="20"/>
          <w:szCs w:val="20"/>
          <w:lang w:val="fi-FI"/>
        </w:rPr>
        <w:t>Tmin_min(°C)      -8</w:t>
      </w:r>
      <w:r w:rsidRPr="00CB32D2">
        <w:rPr>
          <w:rFonts w:ascii="Arial" w:hAnsi="Arial" w:cs="Arial"/>
          <w:sz w:val="20"/>
          <w:szCs w:val="20"/>
          <w:lang w:val="fi-FI"/>
        </w:rPr>
        <w:tab/>
        <w:t xml:space="preserve">   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-6</w:t>
      </w:r>
      <w:r w:rsidRPr="00CB32D2">
        <w:rPr>
          <w:rFonts w:ascii="Arial" w:hAnsi="Arial" w:cs="Arial"/>
          <w:sz w:val="20"/>
          <w:szCs w:val="20"/>
          <w:lang w:val="fi-FI"/>
        </w:rPr>
        <w:tab/>
        <w:t>-7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  <w:r w:rsidRPr="00CB32D2">
        <w:rPr>
          <w:rFonts w:ascii="Arial" w:hAnsi="Arial" w:cs="Arial"/>
          <w:sz w:val="20"/>
          <w:szCs w:val="20"/>
          <w:lang w:val="fi-FI"/>
        </w:rPr>
        <w:tab/>
        <w:t>-8</w:t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  <w:lang w:val="fi-FI"/>
        </w:rPr>
      </w:pPr>
      <w:r w:rsidRPr="00CB32D2">
        <w:rPr>
          <w:rFonts w:ascii="Arial" w:hAnsi="Arial" w:cs="Arial"/>
          <w:sz w:val="20"/>
          <w:szCs w:val="20"/>
          <w:lang w:val="fi-FI"/>
        </w:rPr>
        <w:t xml:space="preserve">Tmin_max(°C)   8.31 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CB32D2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9.09     </w:t>
      </w:r>
      <w:r w:rsidRPr="00CB32D2">
        <w:rPr>
          <w:rFonts w:ascii="Arial" w:hAnsi="Arial" w:cs="Arial"/>
          <w:sz w:val="20"/>
          <w:szCs w:val="20"/>
          <w:lang w:val="fi-FI"/>
        </w:rPr>
        <w:t>10.44</w:t>
      </w:r>
      <w:r w:rsidRPr="00CB32D2">
        <w:rPr>
          <w:rFonts w:ascii="Arial" w:hAnsi="Arial" w:cs="Arial"/>
          <w:sz w:val="20"/>
          <w:szCs w:val="20"/>
          <w:lang w:val="fi-FI"/>
        </w:rPr>
        <w:tab/>
        <w:t>9.94</w:t>
      </w:r>
      <w:r w:rsidRPr="00CB32D2">
        <w:rPr>
          <w:rFonts w:ascii="Arial" w:hAnsi="Arial" w:cs="Arial"/>
          <w:sz w:val="20"/>
          <w:szCs w:val="20"/>
          <w:lang w:val="fi-FI"/>
        </w:rPr>
        <w:tab/>
        <w:t>9.5</w:t>
      </w:r>
      <w:r w:rsidRPr="00CB32D2">
        <w:rPr>
          <w:rFonts w:ascii="Arial" w:hAnsi="Arial" w:cs="Arial"/>
          <w:sz w:val="20"/>
          <w:szCs w:val="20"/>
          <w:lang w:val="fi-FI"/>
        </w:rPr>
        <w:tab/>
        <w:t>8.61</w:t>
      </w:r>
      <w:r w:rsidRPr="00CB32D2">
        <w:rPr>
          <w:rFonts w:ascii="Arial" w:hAnsi="Arial" w:cs="Arial"/>
          <w:sz w:val="20"/>
          <w:szCs w:val="20"/>
          <w:lang w:val="fi-FI"/>
        </w:rPr>
        <w:tab/>
        <w:t>8.8</w:t>
      </w:r>
      <w:r w:rsidRPr="00CB32D2">
        <w:rPr>
          <w:rFonts w:ascii="Arial" w:hAnsi="Arial" w:cs="Arial"/>
          <w:sz w:val="20"/>
          <w:szCs w:val="20"/>
          <w:lang w:val="fi-FI"/>
        </w:rPr>
        <w:tab/>
        <w:t>11.39</w:t>
      </w:r>
      <w:r w:rsidRPr="00CB32D2">
        <w:rPr>
          <w:rFonts w:ascii="Arial" w:hAnsi="Arial" w:cs="Arial"/>
          <w:sz w:val="20"/>
          <w:szCs w:val="20"/>
          <w:lang w:val="fi-FI"/>
        </w:rPr>
        <w:tab/>
        <w:t>11.39</w:t>
      </w:r>
      <w:r w:rsidRPr="00CB32D2">
        <w:rPr>
          <w:rFonts w:ascii="Arial" w:hAnsi="Arial" w:cs="Arial"/>
          <w:sz w:val="20"/>
          <w:szCs w:val="20"/>
          <w:lang w:val="fi-FI"/>
        </w:rPr>
        <w:tab/>
        <w:t>12.02</w:t>
      </w:r>
      <w:r w:rsidRPr="00CB32D2">
        <w:rPr>
          <w:rFonts w:ascii="Arial" w:hAnsi="Arial" w:cs="Arial"/>
          <w:sz w:val="20"/>
          <w:szCs w:val="20"/>
          <w:lang w:val="fi-FI"/>
        </w:rPr>
        <w:tab/>
        <w:t>12.02</w:t>
      </w:r>
    </w:p>
    <w:p w:rsidR="00F842A9" w:rsidRPr="008D7B10" w:rsidRDefault="00F842A9" w:rsidP="00EA0CD5">
      <w:pPr>
        <w:rPr>
          <w:rFonts w:ascii="Arial" w:hAnsi="Arial" w:cs="Arial"/>
          <w:sz w:val="20"/>
          <w:szCs w:val="20"/>
          <w:lang w:val="fi-FI"/>
        </w:rPr>
      </w:pPr>
      <w:r w:rsidRPr="008D7B10">
        <w:rPr>
          <w:rFonts w:ascii="Arial" w:hAnsi="Arial" w:cs="Arial"/>
          <w:sz w:val="20"/>
          <w:szCs w:val="20"/>
          <w:lang w:val="fi-FI"/>
        </w:rPr>
        <w:t>VPD_min(Pa)    500      1800      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434</w:t>
      </w:r>
      <w:r w:rsidRPr="008D7B10">
        <w:rPr>
          <w:rFonts w:ascii="Arial" w:hAnsi="Arial" w:cs="Arial"/>
          <w:sz w:val="20"/>
          <w:szCs w:val="20"/>
          <w:lang w:val="fi-FI"/>
        </w:rPr>
        <w:tab/>
        <w:t>300</w:t>
      </w:r>
      <w:r w:rsidRPr="008D7B10">
        <w:rPr>
          <w:rFonts w:ascii="Arial" w:hAnsi="Arial" w:cs="Arial"/>
          <w:sz w:val="20"/>
          <w:szCs w:val="20"/>
          <w:lang w:val="fi-FI"/>
        </w:rPr>
        <w:tab/>
        <w:t>752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</w:t>
      </w:r>
    </w:p>
    <w:p w:rsidR="00F842A9" w:rsidRPr="008D7B10" w:rsidRDefault="00F842A9" w:rsidP="00EA0CD5">
      <w:pPr>
        <w:rPr>
          <w:rFonts w:ascii="Arial" w:hAnsi="Arial" w:cs="Arial"/>
          <w:sz w:val="20"/>
          <w:szCs w:val="20"/>
          <w:lang w:val="fi-FI"/>
        </w:rPr>
      </w:pPr>
      <w:r w:rsidRPr="008D7B10">
        <w:rPr>
          <w:rFonts w:ascii="Arial" w:hAnsi="Arial" w:cs="Arial"/>
          <w:sz w:val="20"/>
          <w:szCs w:val="20"/>
          <w:lang w:val="fi-FI"/>
        </w:rPr>
        <w:t>VPD_max(Pa)   4000    4000    4160    4160      2732</w:t>
      </w:r>
      <w:r w:rsidRPr="008D7B10">
        <w:rPr>
          <w:rFonts w:ascii="Arial" w:hAnsi="Arial" w:cs="Arial"/>
          <w:sz w:val="20"/>
          <w:szCs w:val="20"/>
          <w:lang w:val="fi-FI"/>
        </w:rPr>
        <w:tab/>
        <w:t>6000</w:t>
      </w:r>
      <w:r w:rsidRPr="008D7B10">
        <w:rPr>
          <w:rFonts w:ascii="Arial" w:hAnsi="Arial" w:cs="Arial"/>
          <w:sz w:val="20"/>
          <w:szCs w:val="20"/>
          <w:lang w:val="fi-FI"/>
        </w:rPr>
        <w:tab/>
        <w:t>4455</w:t>
      </w:r>
      <w:r w:rsidRPr="008D7B10">
        <w:rPr>
          <w:rFonts w:ascii="Arial" w:hAnsi="Arial" w:cs="Arial"/>
          <w:sz w:val="20"/>
          <w:szCs w:val="20"/>
          <w:lang w:val="fi-FI"/>
        </w:rPr>
        <w:tab/>
        <w:t>5000</w:t>
      </w:r>
      <w:r w:rsidRPr="008D7B10">
        <w:rPr>
          <w:rFonts w:ascii="Arial" w:hAnsi="Arial" w:cs="Arial"/>
          <w:sz w:val="20"/>
          <w:szCs w:val="20"/>
          <w:lang w:val="fi-FI"/>
        </w:rPr>
        <w:tab/>
        <w:t>3913</w:t>
      </w:r>
      <w:r w:rsidRPr="008D7B10">
        <w:rPr>
          <w:rFonts w:ascii="Arial" w:hAnsi="Arial" w:cs="Arial"/>
          <w:sz w:val="20"/>
          <w:szCs w:val="20"/>
          <w:lang w:val="fi-FI"/>
        </w:rPr>
        <w:tab/>
        <w:t>5500</w:t>
      </w:r>
      <w:r w:rsidRPr="008D7B10">
        <w:rPr>
          <w:rFonts w:ascii="Arial" w:hAnsi="Arial" w:cs="Arial"/>
          <w:sz w:val="20"/>
          <w:szCs w:val="20"/>
          <w:lang w:val="fi-FI"/>
        </w:rPr>
        <w:tab/>
        <w:t>5071</w:t>
      </w:r>
      <w:r w:rsidRPr="008D7B10">
        <w:rPr>
          <w:rFonts w:ascii="Arial" w:hAnsi="Arial" w:cs="Arial"/>
          <w:sz w:val="20"/>
          <w:szCs w:val="20"/>
          <w:lang w:val="fi-FI"/>
        </w:rPr>
        <w:tab/>
      </w:r>
      <w:r w:rsidRPr="008D7B10">
        <w:rPr>
          <w:rFonts w:ascii="Arial" w:hAnsi="Arial" w:cs="Arial"/>
          <w:sz w:val="20"/>
          <w:szCs w:val="20"/>
          <w:lang w:val="fi-FI"/>
        </w:rPr>
        <w:tab/>
      </w:r>
      <w:r w:rsidRPr="008D7B10">
        <w:rPr>
          <w:rFonts w:ascii="Arial" w:hAnsi="Arial" w:cs="Arial"/>
          <w:sz w:val="20"/>
          <w:szCs w:val="20"/>
          <w:lang w:val="fi-FI"/>
        </w:rPr>
        <w:tab/>
      </w:r>
      <w:r w:rsidRPr="008D7B10">
        <w:rPr>
          <w:rFonts w:ascii="Arial" w:hAnsi="Arial" w:cs="Arial"/>
          <w:sz w:val="20"/>
          <w:szCs w:val="20"/>
          <w:lang w:val="fi-FI"/>
        </w:rPr>
        <w:tab/>
      </w:r>
      <w:r w:rsidRPr="008D7B10">
        <w:rPr>
          <w:rFonts w:ascii="Arial" w:hAnsi="Arial" w:cs="Arial"/>
          <w:sz w:val="20"/>
          <w:szCs w:val="20"/>
          <w:lang w:val="fi-FI"/>
        </w:rPr>
        <w:tab/>
      </w:r>
      <w:r w:rsidRPr="008D7B10">
        <w:rPr>
          <w:rFonts w:ascii="Arial" w:hAnsi="Arial" w:cs="Arial"/>
          <w:sz w:val="20"/>
          <w:szCs w:val="20"/>
          <w:lang w:val="fi-FI"/>
        </w:rPr>
        <w:tab/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</w:rPr>
      </w:pPr>
      <w:r w:rsidRPr="00CB32D2">
        <w:rPr>
          <w:rFonts w:ascii="Arial" w:hAnsi="Arial" w:cs="Arial"/>
          <w:sz w:val="20"/>
          <w:szCs w:val="20"/>
        </w:rPr>
        <w:t>************************************* TCF parameters ******************************************</w:t>
      </w:r>
      <w:r>
        <w:rPr>
          <w:rFonts w:ascii="Arial" w:hAnsi="Arial" w:cs="Arial"/>
          <w:sz w:val="20"/>
          <w:szCs w:val="20"/>
        </w:rPr>
        <w:t>*********************</w:t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</w:rPr>
      </w:pPr>
      <w:proofErr w:type="spellStart"/>
      <w:r w:rsidRPr="00CB32D2">
        <w:rPr>
          <w:rFonts w:ascii="Arial" w:hAnsi="Arial" w:cs="Arial"/>
          <w:sz w:val="20"/>
          <w:szCs w:val="20"/>
        </w:rPr>
        <w:t>CMfract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CB3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B32D2">
        <w:rPr>
          <w:rFonts w:ascii="Arial" w:hAnsi="Arial" w:cs="Arial"/>
          <w:sz w:val="20"/>
          <w:szCs w:val="20"/>
        </w:rPr>
        <w:t>0.49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CB32D2">
        <w:rPr>
          <w:rFonts w:ascii="Arial" w:hAnsi="Arial" w:cs="Arial"/>
          <w:sz w:val="20"/>
          <w:szCs w:val="20"/>
        </w:rPr>
        <w:t>0.71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B32D2">
        <w:rPr>
          <w:rFonts w:ascii="Arial" w:hAnsi="Arial" w:cs="Arial"/>
          <w:sz w:val="20"/>
          <w:szCs w:val="20"/>
        </w:rPr>
        <w:t>0.67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B32D2">
        <w:rPr>
          <w:rFonts w:ascii="Arial" w:hAnsi="Arial" w:cs="Arial"/>
          <w:sz w:val="20"/>
          <w:szCs w:val="20"/>
        </w:rPr>
        <w:t>0.67</w:t>
      </w:r>
      <w:r w:rsidRPr="00CB32D2">
        <w:rPr>
          <w:rFonts w:ascii="Arial" w:hAnsi="Arial" w:cs="Arial"/>
          <w:sz w:val="20"/>
          <w:szCs w:val="20"/>
        </w:rPr>
        <w:tab/>
        <w:t>0.59</w:t>
      </w:r>
      <w:r w:rsidRPr="00CB32D2">
        <w:rPr>
          <w:rFonts w:ascii="Arial" w:hAnsi="Arial" w:cs="Arial"/>
          <w:sz w:val="20"/>
          <w:szCs w:val="20"/>
        </w:rPr>
        <w:tab/>
        <w:t>0.62</w:t>
      </w:r>
      <w:r w:rsidRPr="00CB32D2">
        <w:rPr>
          <w:rFonts w:ascii="Arial" w:hAnsi="Arial" w:cs="Arial"/>
          <w:sz w:val="20"/>
          <w:szCs w:val="20"/>
        </w:rPr>
        <w:tab/>
        <w:t>0.62</w:t>
      </w:r>
      <w:r w:rsidRPr="00CB32D2">
        <w:rPr>
          <w:rFonts w:ascii="Arial" w:hAnsi="Arial" w:cs="Arial"/>
          <w:sz w:val="20"/>
          <w:szCs w:val="20"/>
        </w:rPr>
        <w:tab/>
        <w:t>0.72</w:t>
      </w:r>
      <w:r w:rsidRPr="00CB32D2">
        <w:rPr>
          <w:rFonts w:ascii="Arial" w:hAnsi="Arial" w:cs="Arial"/>
          <w:sz w:val="20"/>
          <w:szCs w:val="20"/>
        </w:rPr>
        <w:tab/>
        <w:t>0.72</w:t>
      </w:r>
      <w:r w:rsidRPr="00CB32D2">
        <w:rPr>
          <w:rFonts w:ascii="Arial" w:hAnsi="Arial" w:cs="Arial"/>
          <w:sz w:val="20"/>
          <w:szCs w:val="20"/>
        </w:rPr>
        <w:tab/>
        <w:t>0.76</w:t>
      </w:r>
      <w:r w:rsidRPr="00CB32D2">
        <w:rPr>
          <w:rFonts w:ascii="Arial" w:hAnsi="Arial" w:cs="Arial"/>
          <w:sz w:val="20"/>
          <w:szCs w:val="20"/>
        </w:rPr>
        <w:tab/>
        <w:t>0.78</w:t>
      </w:r>
    </w:p>
    <w:p w:rsidR="00F842A9" w:rsidRPr="00CB32D2" w:rsidRDefault="00F842A9" w:rsidP="00EA0CD5">
      <w:pPr>
        <w:rPr>
          <w:rFonts w:ascii="Arial" w:hAnsi="Arial" w:cs="Arial"/>
          <w:sz w:val="20"/>
          <w:szCs w:val="20"/>
        </w:rPr>
      </w:pPr>
      <w:r w:rsidRPr="00CB32D2">
        <w:rPr>
          <w:rFonts w:ascii="Arial" w:hAnsi="Arial" w:cs="Arial"/>
          <w:sz w:val="20"/>
          <w:szCs w:val="20"/>
        </w:rPr>
        <w:t>CUE</w:t>
      </w:r>
      <w:r w:rsidRPr="00CB32D2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CB32D2">
        <w:rPr>
          <w:rFonts w:ascii="Arial" w:hAnsi="Arial" w:cs="Arial"/>
          <w:sz w:val="20"/>
          <w:szCs w:val="20"/>
        </w:rPr>
        <w:t>0.55</w:t>
      </w:r>
      <w:r>
        <w:rPr>
          <w:rFonts w:ascii="Arial" w:hAnsi="Arial" w:cs="Arial"/>
          <w:sz w:val="20"/>
          <w:szCs w:val="20"/>
        </w:rPr>
        <w:t xml:space="preserve">     </w:t>
      </w:r>
      <w:r w:rsidRPr="00CB32D2">
        <w:rPr>
          <w:rFonts w:ascii="Arial" w:hAnsi="Arial" w:cs="Arial"/>
          <w:sz w:val="20"/>
          <w:szCs w:val="20"/>
        </w:rPr>
        <w:t>0.45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B32D2">
        <w:rPr>
          <w:rFonts w:ascii="Arial" w:hAnsi="Arial" w:cs="Arial"/>
          <w:sz w:val="20"/>
          <w:szCs w:val="20"/>
        </w:rPr>
        <w:t>0.55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B32D2">
        <w:rPr>
          <w:rFonts w:ascii="Arial" w:hAnsi="Arial" w:cs="Arial"/>
          <w:sz w:val="20"/>
          <w:szCs w:val="20"/>
        </w:rPr>
        <w:t>0.55</w:t>
      </w:r>
      <w:r w:rsidRPr="00CB3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B32D2">
        <w:rPr>
          <w:rFonts w:ascii="Arial" w:hAnsi="Arial" w:cs="Arial"/>
          <w:sz w:val="20"/>
          <w:szCs w:val="20"/>
        </w:rPr>
        <w:t>0.5</w:t>
      </w:r>
      <w:r w:rsidRPr="00CB32D2">
        <w:rPr>
          <w:rFonts w:ascii="Arial" w:hAnsi="Arial" w:cs="Arial"/>
          <w:sz w:val="20"/>
          <w:szCs w:val="20"/>
        </w:rPr>
        <w:tab/>
        <w:t>0.6</w:t>
      </w:r>
      <w:r w:rsidRPr="00CB32D2">
        <w:rPr>
          <w:rFonts w:ascii="Arial" w:hAnsi="Arial" w:cs="Arial"/>
          <w:sz w:val="20"/>
          <w:szCs w:val="20"/>
        </w:rPr>
        <w:tab/>
        <w:t>0.6</w:t>
      </w:r>
      <w:r w:rsidRPr="00CB32D2">
        <w:rPr>
          <w:rFonts w:ascii="Arial" w:hAnsi="Arial" w:cs="Arial"/>
          <w:sz w:val="20"/>
          <w:szCs w:val="20"/>
        </w:rPr>
        <w:tab/>
        <w:t>0.5</w:t>
      </w:r>
      <w:r w:rsidRPr="00CB32D2">
        <w:rPr>
          <w:rFonts w:ascii="Arial" w:hAnsi="Arial" w:cs="Arial"/>
          <w:sz w:val="20"/>
          <w:szCs w:val="20"/>
        </w:rPr>
        <w:tab/>
        <w:t>0.55</w:t>
      </w:r>
      <w:r w:rsidRPr="00CB32D2">
        <w:rPr>
          <w:rFonts w:ascii="Arial" w:hAnsi="Arial" w:cs="Arial"/>
          <w:sz w:val="20"/>
          <w:szCs w:val="20"/>
        </w:rPr>
        <w:tab/>
        <w:t>0.6</w:t>
      </w:r>
      <w:r w:rsidRPr="00CB32D2">
        <w:rPr>
          <w:rFonts w:ascii="Arial" w:hAnsi="Arial" w:cs="Arial"/>
          <w:sz w:val="20"/>
          <w:szCs w:val="20"/>
        </w:rPr>
        <w:tab/>
        <w:t>0.55</w:t>
      </w:r>
    </w:p>
    <w:p w:rsidR="00F842A9" w:rsidRPr="00EA0CD5" w:rsidRDefault="00F842A9" w:rsidP="00EA0CD5">
      <w:pPr>
        <w:rPr>
          <w:rFonts w:ascii="Arial" w:hAnsi="Arial" w:cs="Arial"/>
          <w:sz w:val="24"/>
          <w:szCs w:val="24"/>
        </w:rPr>
      </w:pPr>
      <w:r w:rsidRPr="00EA0CD5">
        <w:rPr>
          <w:rFonts w:ascii="Arial" w:hAnsi="Arial" w:cs="Arial"/>
          <w:sz w:val="24"/>
          <w:szCs w:val="24"/>
        </w:rPr>
        <w:t>********************************************************************</w:t>
      </w:r>
      <w:r>
        <w:rPr>
          <w:rFonts w:ascii="Arial" w:hAnsi="Arial" w:cs="Arial"/>
          <w:sz w:val="24"/>
          <w:szCs w:val="24"/>
        </w:rPr>
        <w:t>********************************</w:t>
      </w:r>
      <w:r w:rsidRPr="00EA0CD5">
        <w:rPr>
          <w:rFonts w:ascii="Arial" w:hAnsi="Arial" w:cs="Arial"/>
          <w:sz w:val="24"/>
          <w:szCs w:val="24"/>
        </w:rPr>
        <w:tab/>
      </w:r>
    </w:p>
    <w:p w:rsidR="00F842A9" w:rsidRPr="00EA0CD5" w:rsidRDefault="00F842A9" w:rsidP="00EA0CD5">
      <w:pPr>
        <w:rPr>
          <w:rFonts w:ascii="Arial" w:hAnsi="Arial" w:cs="Arial"/>
          <w:sz w:val="24"/>
          <w:szCs w:val="24"/>
        </w:rPr>
      </w:pPr>
      <w:r w:rsidRPr="00EA0CD5">
        <w:rPr>
          <w:rFonts w:ascii="Arial" w:hAnsi="Arial" w:cs="Arial"/>
          <w:sz w:val="24"/>
          <w:szCs w:val="24"/>
        </w:rPr>
        <w:tab/>
      </w:r>
    </w:p>
    <w:p w:rsidR="00F842A9" w:rsidRDefault="00F842A9"/>
    <w:p w:rsidR="00F842A9" w:rsidRDefault="00F842A9"/>
    <w:sectPr w:rsidR="00F842A9" w:rsidSect="0075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A20"/>
    <w:multiLevelType w:val="hybridMultilevel"/>
    <w:tmpl w:val="C062E7F8"/>
    <w:lvl w:ilvl="0" w:tplc="DE0618D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2D79"/>
    <w:multiLevelType w:val="hybridMultilevel"/>
    <w:tmpl w:val="BCDCCDBE"/>
    <w:lvl w:ilvl="0" w:tplc="E5FEDEE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288D"/>
    <w:multiLevelType w:val="hybridMultilevel"/>
    <w:tmpl w:val="19D0A020"/>
    <w:lvl w:ilvl="0" w:tplc="23001F7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1B1"/>
    <w:rsid w:val="0004277C"/>
    <w:rsid w:val="00057BEE"/>
    <w:rsid w:val="00074A13"/>
    <w:rsid w:val="000B4D20"/>
    <w:rsid w:val="00125C0F"/>
    <w:rsid w:val="00137B0B"/>
    <w:rsid w:val="001465FD"/>
    <w:rsid w:val="00152761"/>
    <w:rsid w:val="001B431D"/>
    <w:rsid w:val="0022643A"/>
    <w:rsid w:val="002C589A"/>
    <w:rsid w:val="002D750D"/>
    <w:rsid w:val="002D79E0"/>
    <w:rsid w:val="003C3D44"/>
    <w:rsid w:val="003F21B1"/>
    <w:rsid w:val="00417D02"/>
    <w:rsid w:val="00464233"/>
    <w:rsid w:val="00470ADF"/>
    <w:rsid w:val="00490F94"/>
    <w:rsid w:val="004F3B36"/>
    <w:rsid w:val="00565268"/>
    <w:rsid w:val="00591242"/>
    <w:rsid w:val="005B68A9"/>
    <w:rsid w:val="005C7014"/>
    <w:rsid w:val="005D5445"/>
    <w:rsid w:val="005E0ABD"/>
    <w:rsid w:val="005F4781"/>
    <w:rsid w:val="00600C83"/>
    <w:rsid w:val="00616B0B"/>
    <w:rsid w:val="00646FBE"/>
    <w:rsid w:val="006A2578"/>
    <w:rsid w:val="007260BC"/>
    <w:rsid w:val="00750319"/>
    <w:rsid w:val="00755E8B"/>
    <w:rsid w:val="007F5C8B"/>
    <w:rsid w:val="00863BF1"/>
    <w:rsid w:val="0087360C"/>
    <w:rsid w:val="00884371"/>
    <w:rsid w:val="008A24B9"/>
    <w:rsid w:val="008D7B10"/>
    <w:rsid w:val="008E287E"/>
    <w:rsid w:val="00985DC7"/>
    <w:rsid w:val="009879E1"/>
    <w:rsid w:val="009A4648"/>
    <w:rsid w:val="009B2F2C"/>
    <w:rsid w:val="009C2A38"/>
    <w:rsid w:val="00A0228C"/>
    <w:rsid w:val="00A10B45"/>
    <w:rsid w:val="00A339B2"/>
    <w:rsid w:val="00A53278"/>
    <w:rsid w:val="00A53B56"/>
    <w:rsid w:val="00AB7B84"/>
    <w:rsid w:val="00AD475E"/>
    <w:rsid w:val="00C0209B"/>
    <w:rsid w:val="00C176B3"/>
    <w:rsid w:val="00C243A0"/>
    <w:rsid w:val="00C4092D"/>
    <w:rsid w:val="00C863A7"/>
    <w:rsid w:val="00CB32D2"/>
    <w:rsid w:val="00CD3718"/>
    <w:rsid w:val="00CD687C"/>
    <w:rsid w:val="00CF6ED5"/>
    <w:rsid w:val="00D82B91"/>
    <w:rsid w:val="00D96C28"/>
    <w:rsid w:val="00E17516"/>
    <w:rsid w:val="00E70AF3"/>
    <w:rsid w:val="00EA0CD5"/>
    <w:rsid w:val="00F322B9"/>
    <w:rsid w:val="00F4337A"/>
    <w:rsid w:val="00F77A30"/>
    <w:rsid w:val="00F842A9"/>
    <w:rsid w:val="00F9134A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8"/>
    <w:pPr>
      <w:spacing w:after="200" w:line="276" w:lineRule="auto"/>
    </w:pPr>
    <w:rPr>
      <w:rFonts w:cs="Calibri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CD371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71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37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3718"/>
    <w:rPr>
      <w:rFonts w:ascii="Cambria" w:eastAsia="SimSun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CD37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371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D371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3F2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21B1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F3B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3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k@ntsg.um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yonghong.yi@ntsg.umt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map.jpl.nasa.gov/science/dataprodu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tsg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4F8F-61E6-4869-8D79-9C89DF16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1433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Terrestrial Carbon Flux (TCF) model simulations from 2001 to 2009</vt:lpstr>
    </vt:vector>
  </TitlesOfParts>
  <Company>The University of Montana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Terrestrial Carbon Flux (TCF) model simulations from 2001 to 2009</dc:title>
  <dc:subject/>
  <dc:creator>yonghong.yi</dc:creator>
  <cp:keywords/>
  <dc:description/>
  <cp:lastModifiedBy>yonghong.yi</cp:lastModifiedBy>
  <cp:revision>27</cp:revision>
  <dcterms:created xsi:type="dcterms:W3CDTF">2011-12-23T22:32:00Z</dcterms:created>
  <dcterms:modified xsi:type="dcterms:W3CDTF">2012-12-17T23:23:00Z</dcterms:modified>
</cp:coreProperties>
</file>